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АО «Янтарьэнерго»</w:t>
      </w: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:rsidR="00E4404A" w:rsidRPr="008C17FB" w:rsidRDefault="00E4404A" w:rsidP="00E4404A">
      <w:pPr>
        <w:jc w:val="center"/>
        <w:rPr>
          <w:color w:val="000000" w:themeColor="text1"/>
          <w:sz w:val="28"/>
          <w:szCs w:val="28"/>
        </w:rPr>
      </w:pPr>
      <w:r w:rsidRPr="008C17FB">
        <w:rPr>
          <w:color w:val="000000" w:themeColor="text1"/>
          <w:sz w:val="28"/>
          <w:szCs w:val="28"/>
        </w:rPr>
        <w:t>инвестиционного проекта</w:t>
      </w:r>
    </w:p>
    <w:p w:rsidR="00E4404A" w:rsidRPr="008C17FB" w:rsidRDefault="00E4404A" w:rsidP="00E4404A">
      <w:pPr>
        <w:spacing w:line="360" w:lineRule="auto"/>
        <w:jc w:val="center"/>
        <w:rPr>
          <w:color w:val="000000" w:themeColor="text1"/>
          <w:sz w:val="32"/>
          <w:szCs w:val="32"/>
          <w:u w:val="single"/>
        </w:rPr>
      </w:pPr>
      <w:r w:rsidRPr="008C17FB">
        <w:rPr>
          <w:color w:val="000000" w:themeColor="text1"/>
          <w:sz w:val="32"/>
          <w:szCs w:val="32"/>
          <w:u w:val="single"/>
        </w:rPr>
        <w:t>«Строительство ПС 110/10кВ Береговая с заходами 4-х КЛ 110 кВ от ПС 110 кВ Береговая на ВЛ 110 кВ № 115/116 (ПС Центральная - ПС Московская/ ПС Центральная - ПС Северная), г. Калининград»</w:t>
      </w: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4404A" w:rsidRPr="008C17FB" w:rsidRDefault="00E4404A" w:rsidP="00E4404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BF5B29" w:rsidRPr="008C17FB" w:rsidRDefault="00BF5B29" w:rsidP="00FA1A7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id w:val="148477977"/>
        <w:docPartObj>
          <w:docPartGallery w:val="Table of Contents"/>
          <w:docPartUnique/>
        </w:docPartObj>
      </w:sdtPr>
      <w:sdtEndPr/>
      <w:sdtContent>
        <w:p w:rsidR="003E7B52" w:rsidRPr="008C17FB" w:rsidRDefault="00AE50CE">
          <w:pPr>
            <w:pStyle w:val="a5"/>
            <w:rPr>
              <w:rFonts w:ascii="Times New Roman" w:hAnsi="Times New Roman" w:cs="Times New Roman"/>
              <w:color w:val="000000" w:themeColor="text1"/>
            </w:rPr>
          </w:pPr>
          <w:r w:rsidRPr="008C17FB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3E7B52" w:rsidRPr="008C17FB" w:rsidRDefault="003E7B52" w:rsidP="003E7B52">
          <w:pPr>
            <w:rPr>
              <w:color w:val="000000" w:themeColor="text1"/>
              <w:lang w:eastAsia="en-US"/>
            </w:rPr>
          </w:pPr>
        </w:p>
        <w:p w:rsidR="00E560B6" w:rsidRPr="008C17FB" w:rsidRDefault="0062368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r w:rsidRPr="008C17FB">
            <w:rPr>
              <w:color w:val="000000" w:themeColor="text1"/>
            </w:rPr>
            <w:fldChar w:fldCharType="begin"/>
          </w:r>
          <w:r w:rsidR="003E7B52" w:rsidRPr="008C17FB">
            <w:rPr>
              <w:color w:val="000000" w:themeColor="text1"/>
            </w:rPr>
            <w:instrText xml:space="preserve"> TOC \o "1-3" \h \z \u </w:instrText>
          </w:r>
          <w:r w:rsidRPr="008C17FB">
            <w:rPr>
              <w:color w:val="000000" w:themeColor="text1"/>
            </w:rPr>
            <w:fldChar w:fldCharType="separate"/>
          </w:r>
          <w:hyperlink w:anchor="_Toc309840739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  <w:lang w:val="en-US"/>
              </w:rPr>
              <w:t>1.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Общая информация о проекте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_Toc309840739 \h </w:instrText>
            </w:r>
            <w:r w:rsidRPr="008C17FB">
              <w:rPr>
                <w:noProof/>
                <w:webHidden/>
                <w:color w:val="000000" w:themeColor="text1"/>
              </w:rPr>
            </w:r>
            <w:r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3</w:t>
            </w:r>
            <w:r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0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2.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Юридический статус объекта инвестиций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_Toc309840740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4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1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3.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Основные технические решения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_Toc309840741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4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2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4.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Инвестиционные затраты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_Toc309840742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7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3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5.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План-график реализации инвестиционного проекта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_Toc309840743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8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4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6.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Маркетинговая информация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_Toc309840744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8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5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7.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Источники финансирования проекта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_Toc309840745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10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6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8.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Показатели операционной деятельности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_Toc309840746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10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7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9.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Показатели экономической эффективности инвестиционного проекта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_Toc309840747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12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8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10.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Анализ рисков и чувствительности проекта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_Toc309840748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13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E560B6" w:rsidRPr="008C17FB" w:rsidRDefault="007338E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309840749" w:history="1"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11.</w:t>
            </w:r>
            <w:r w:rsidR="00E560B6" w:rsidRPr="008C17FB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E560B6" w:rsidRPr="008C17FB">
              <w:rPr>
                <w:rStyle w:val="a6"/>
                <w:rFonts w:eastAsiaTheme="majorEastAsia"/>
                <w:noProof/>
                <w:color w:val="000000" w:themeColor="text1"/>
              </w:rPr>
              <w:t>Выводы</w:t>
            </w:r>
            <w:r w:rsidR="00E560B6" w:rsidRPr="008C17FB">
              <w:rPr>
                <w:noProof/>
                <w:webHidden/>
                <w:color w:val="000000" w:themeColor="text1"/>
              </w:rPr>
              <w:tab/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begin"/>
            </w:r>
            <w:r w:rsidR="00E560B6" w:rsidRPr="008C17FB">
              <w:rPr>
                <w:noProof/>
                <w:webHidden/>
                <w:color w:val="000000" w:themeColor="text1"/>
              </w:rPr>
              <w:instrText xml:space="preserve"> PAGEREF _Toc309840749 \h </w:instrText>
            </w:r>
            <w:r w:rsidR="00623686" w:rsidRPr="008C17FB">
              <w:rPr>
                <w:noProof/>
                <w:webHidden/>
                <w:color w:val="000000" w:themeColor="text1"/>
              </w:rPr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separate"/>
            </w:r>
            <w:r w:rsidR="004A50D2" w:rsidRPr="008C17FB">
              <w:rPr>
                <w:noProof/>
                <w:webHidden/>
                <w:color w:val="000000" w:themeColor="text1"/>
              </w:rPr>
              <w:t>13</w:t>
            </w:r>
            <w:r w:rsidR="00623686" w:rsidRPr="008C17FB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:rsidR="003E7B52" w:rsidRPr="008C17FB" w:rsidRDefault="00623686">
          <w:pPr>
            <w:rPr>
              <w:color w:val="000000" w:themeColor="text1"/>
            </w:rPr>
          </w:pPr>
          <w:r w:rsidRPr="008C17FB">
            <w:rPr>
              <w:color w:val="000000" w:themeColor="text1"/>
            </w:rPr>
            <w:fldChar w:fldCharType="end"/>
          </w:r>
        </w:p>
      </w:sdtContent>
    </w:sdt>
    <w:p w:rsidR="00BF5B29" w:rsidRPr="008C17FB" w:rsidRDefault="00BF5B29">
      <w:pPr>
        <w:rPr>
          <w:color w:val="000000" w:themeColor="text1"/>
        </w:rPr>
      </w:pPr>
    </w:p>
    <w:p w:rsidR="00BF5B29" w:rsidRPr="008C17FB" w:rsidRDefault="00BF5B29">
      <w:pPr>
        <w:spacing w:after="200" w:line="276" w:lineRule="auto"/>
        <w:rPr>
          <w:color w:val="000000" w:themeColor="text1"/>
        </w:rPr>
      </w:pPr>
      <w:r w:rsidRPr="008C17FB">
        <w:rPr>
          <w:color w:val="000000" w:themeColor="text1"/>
        </w:rPr>
        <w:br w:type="page"/>
      </w:r>
    </w:p>
    <w:p w:rsidR="00BF5B29" w:rsidRPr="008C17FB" w:rsidRDefault="002642A5" w:rsidP="00BB477B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0" w:name="_Toc231645032"/>
      <w:bookmarkStart w:id="1" w:name="_Toc309840739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информация о</w:t>
      </w:r>
      <w:r w:rsidR="00BF5B29"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bookmarkEnd w:id="0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bookmarkEnd w:id="1"/>
    </w:p>
    <w:p w:rsidR="00BB477B" w:rsidRPr="008C17FB" w:rsidRDefault="00BB477B" w:rsidP="00BB477B">
      <w:pPr>
        <w:rPr>
          <w:color w:val="000000" w:themeColor="text1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884"/>
      </w:tblGrid>
      <w:tr w:rsidR="00A447DE" w:rsidRPr="008C17FB" w:rsidTr="00BB477B">
        <w:tc>
          <w:tcPr>
            <w:tcW w:w="2005" w:type="dxa"/>
          </w:tcPr>
          <w:p w:rsidR="00A447DE" w:rsidRPr="008C17FB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Описание инвестиционного проекта</w:t>
            </w:r>
          </w:p>
        </w:tc>
        <w:tc>
          <w:tcPr>
            <w:tcW w:w="7884" w:type="dxa"/>
          </w:tcPr>
          <w:p w:rsidR="00645A93" w:rsidRPr="008C17FB" w:rsidRDefault="00645A93" w:rsidP="00645A9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Инвестиционный проект предполагает:</w:t>
            </w:r>
          </w:p>
          <w:p w:rsidR="00645A93" w:rsidRPr="008C17FB" w:rsidRDefault="00645A93" w:rsidP="00645A9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- строительство ПС 110/10 кВ "Береговая" закрытого типа (РУ 110/10 кВ - закрытое, РУ 10 кВ - закрытое, два двухобмоточных силовых трансформатора 110/10 кВ мощностью 25 МВА);</w:t>
            </w:r>
          </w:p>
          <w:p w:rsidR="004B3D49" w:rsidRPr="008C17FB" w:rsidRDefault="00645A93" w:rsidP="00645A9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- строительство  четырех участков КЛ 110 кВ от ПС 110/10 кВ "Береговая" на ВЛ 110 кВ № 115/116 (ПС Центральная – ПС Московская / ПС Центральная – ПС Северная) 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общей  протяженностью  </w:t>
            </w:r>
            <w:r w:rsidR="00056536" w:rsidRPr="008C17FB">
              <w:rPr>
                <w:color w:val="595959" w:themeColor="text1" w:themeTint="A6"/>
                <w:sz w:val="24"/>
                <w:szCs w:val="24"/>
              </w:rPr>
              <w:t>1,655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 xml:space="preserve"> км </w:t>
            </w:r>
            <w:r w:rsidRPr="008C17FB">
              <w:rPr>
                <w:color w:val="000000" w:themeColor="text1"/>
                <w:sz w:val="24"/>
                <w:szCs w:val="24"/>
              </w:rPr>
              <w:t>с переустройством ВОЛС</w:t>
            </w:r>
            <w:r w:rsidR="004B3D49" w:rsidRPr="008C17FB">
              <w:rPr>
                <w:color w:val="000000" w:themeColor="text1"/>
                <w:sz w:val="24"/>
                <w:szCs w:val="24"/>
              </w:rPr>
              <w:t>.</w:t>
            </w:r>
          </w:p>
          <w:p w:rsidR="003127BF" w:rsidRPr="008C17FB" w:rsidRDefault="004B3D49" w:rsidP="00645A93">
            <w:pPr>
              <w:pStyle w:val="a3"/>
              <w:spacing w:after="0"/>
              <w:ind w:left="0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Кабельные заходы ВЛ 110 кВ №115/116 выполняются следующим образом: на место существующих опор №40 марки У-2 и №46 марки У110-2+9 устанавливаются 2-х цепные переходные опоры марки МУ330-1м, которые являются начальным пунктом кабельных заходов. Конечным пунктом кабельных заходов является КРУЭ 110 кВ ПС Береговая:</w:t>
            </w:r>
          </w:p>
          <w:p w:rsidR="003127BF" w:rsidRPr="008C17FB" w:rsidRDefault="004B3D49" w:rsidP="00645A93">
            <w:pPr>
              <w:pStyle w:val="a3"/>
              <w:spacing w:after="0"/>
              <w:ind w:left="0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1. </w:t>
            </w:r>
            <w:r w:rsidR="003127BF" w:rsidRPr="008C17FB">
              <w:rPr>
                <w:color w:val="595959" w:themeColor="text1" w:themeTint="A6"/>
                <w:sz w:val="24"/>
                <w:szCs w:val="24"/>
              </w:rPr>
              <w:t xml:space="preserve">КВЛ 110 кВ </w:t>
            </w:r>
            <w:r w:rsidR="00A53441" w:rsidRPr="008C17FB">
              <w:rPr>
                <w:color w:val="595959" w:themeColor="text1" w:themeTint="A6"/>
                <w:sz w:val="24"/>
                <w:szCs w:val="24"/>
              </w:rPr>
              <w:t xml:space="preserve">Центральная - </w:t>
            </w:r>
            <w:r w:rsidR="003127BF" w:rsidRPr="008C17FB">
              <w:rPr>
                <w:color w:val="595959" w:themeColor="text1" w:themeTint="A6"/>
                <w:sz w:val="24"/>
                <w:szCs w:val="24"/>
              </w:rPr>
              <w:t xml:space="preserve">Береговая </w:t>
            </w:r>
            <w:r w:rsidR="00A53441" w:rsidRPr="008C17FB">
              <w:rPr>
                <w:color w:val="595959" w:themeColor="text1" w:themeTint="A6"/>
                <w:sz w:val="24"/>
                <w:szCs w:val="24"/>
              </w:rPr>
              <w:t>с отпайками (Л-115) и Центральная - Береговая с отпайками (Л-116)</w:t>
            </w:r>
            <w:r w:rsidR="003127BF" w:rsidRPr="008C17FB">
              <w:rPr>
                <w:color w:val="595959" w:themeColor="text1" w:themeTint="A6"/>
                <w:sz w:val="24"/>
                <w:szCs w:val="24"/>
              </w:rPr>
              <w:t xml:space="preserve"> (протяженность 0,640 км)</w:t>
            </w:r>
            <w:r w:rsidR="00742C4F" w:rsidRPr="008C17FB">
              <w:rPr>
                <w:color w:val="595959" w:themeColor="text1" w:themeTint="A6"/>
                <w:sz w:val="24"/>
                <w:szCs w:val="24"/>
              </w:rPr>
              <w:t xml:space="preserve"> – от опоры №40 до КРУЭ</w:t>
            </w:r>
            <w:r w:rsidR="003127BF" w:rsidRPr="008C17FB">
              <w:rPr>
                <w:color w:val="595959" w:themeColor="text1" w:themeTint="A6"/>
                <w:sz w:val="24"/>
                <w:szCs w:val="24"/>
              </w:rPr>
              <w:t>;</w:t>
            </w:r>
          </w:p>
          <w:p w:rsidR="00645A93" w:rsidRPr="008C17FB" w:rsidRDefault="004B3D49" w:rsidP="00645A93">
            <w:pPr>
              <w:pStyle w:val="a3"/>
              <w:spacing w:after="0"/>
              <w:ind w:left="0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2. </w:t>
            </w:r>
            <w:r w:rsidR="003127BF" w:rsidRPr="008C17FB">
              <w:rPr>
                <w:color w:val="595959" w:themeColor="text1" w:themeTint="A6"/>
                <w:sz w:val="24"/>
                <w:szCs w:val="24"/>
              </w:rPr>
              <w:t>КВЛ 110 кВ Береговая – Северная,  Береговая – Московская (протяженность 1,015 км</w:t>
            </w:r>
            <w:r w:rsidR="00A53441" w:rsidRPr="008C17FB">
              <w:rPr>
                <w:color w:val="595959" w:themeColor="text1" w:themeTint="A6"/>
                <w:sz w:val="24"/>
                <w:szCs w:val="24"/>
              </w:rPr>
              <w:t xml:space="preserve"> по трассе</w:t>
            </w:r>
            <w:r w:rsidR="003127BF" w:rsidRPr="008C17FB">
              <w:rPr>
                <w:color w:val="595959" w:themeColor="text1" w:themeTint="A6"/>
                <w:sz w:val="24"/>
                <w:szCs w:val="24"/>
              </w:rPr>
              <w:t>)</w:t>
            </w:r>
            <w:r w:rsidR="00742C4F" w:rsidRPr="008C17FB">
              <w:rPr>
                <w:color w:val="595959" w:themeColor="text1" w:themeTint="A6"/>
                <w:sz w:val="24"/>
                <w:szCs w:val="24"/>
              </w:rPr>
              <w:t xml:space="preserve"> – от опоры №46 до КРУЭ</w:t>
            </w:r>
            <w:r w:rsidR="00645A93" w:rsidRPr="008C17FB">
              <w:rPr>
                <w:color w:val="595959" w:themeColor="text1" w:themeTint="A6"/>
                <w:sz w:val="24"/>
                <w:szCs w:val="24"/>
              </w:rPr>
              <w:t>.</w:t>
            </w:r>
          </w:p>
          <w:p w:rsidR="00246401" w:rsidRPr="008C17FB" w:rsidRDefault="00246401" w:rsidP="00645A93">
            <w:pPr>
              <w:pStyle w:val="a3"/>
              <w:spacing w:after="0"/>
              <w:ind w:left="0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Линии выполняются одножильными кабелями 110 кВ с медными жилами с изоляцией из сшитого полиэтилена.</w:t>
            </w:r>
          </w:p>
          <w:p w:rsidR="008B0CD8" w:rsidRPr="008C17FB" w:rsidRDefault="008B0CD8" w:rsidP="00645A93">
            <w:pPr>
              <w:pStyle w:val="a3"/>
              <w:spacing w:after="0"/>
              <w:ind w:left="0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Демонтаж ВЛ 110 кВ №115/116 общей протяженностью 5,346 км.</w:t>
            </w:r>
          </w:p>
          <w:p w:rsidR="00831246" w:rsidRPr="008C17FB" w:rsidRDefault="00831246" w:rsidP="00831246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8C17FB" w:rsidTr="00BB477B">
        <w:tc>
          <w:tcPr>
            <w:tcW w:w="2005" w:type="dxa"/>
          </w:tcPr>
          <w:p w:rsidR="00A447DE" w:rsidRPr="008C17FB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Цели реализации ИП</w:t>
            </w:r>
          </w:p>
        </w:tc>
        <w:tc>
          <w:tcPr>
            <w:tcW w:w="7884" w:type="dxa"/>
          </w:tcPr>
          <w:p w:rsidR="0080113B" w:rsidRPr="008C17FB" w:rsidRDefault="0080113B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</w:rPr>
              <w:t>увеличение объема услуг по</w:t>
            </w:r>
            <w:r w:rsidR="00A459A9" w:rsidRPr="008C17FB">
              <w:rPr>
                <w:color w:val="000000" w:themeColor="text1"/>
                <w:sz w:val="24"/>
              </w:rPr>
              <w:t xml:space="preserve"> передаче электрической энергии.</w:t>
            </w:r>
          </w:p>
          <w:p w:rsidR="00BB477B" w:rsidRPr="008C17FB" w:rsidRDefault="00BB477B" w:rsidP="00A459A9">
            <w:pPr>
              <w:pStyle w:val="12"/>
              <w:spacing w:before="0"/>
              <w:ind w:left="263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447DE" w:rsidRPr="008C17FB" w:rsidTr="00BB477B">
        <w:tc>
          <w:tcPr>
            <w:tcW w:w="2005" w:type="dxa"/>
          </w:tcPr>
          <w:p w:rsidR="00A447DE" w:rsidRPr="008C17FB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Основание для включения ИП</w:t>
            </w:r>
          </w:p>
        </w:tc>
        <w:tc>
          <w:tcPr>
            <w:tcW w:w="7884" w:type="dxa"/>
          </w:tcPr>
          <w:p w:rsidR="00B26FC3" w:rsidRPr="008C17FB" w:rsidRDefault="00B26FC3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8C17FB">
              <w:rPr>
                <w:color w:val="000000" w:themeColor="text1"/>
                <w:sz w:val="24"/>
              </w:rPr>
              <w:t>наличие договор</w:t>
            </w:r>
            <w:r w:rsidR="00A963F3" w:rsidRPr="008C17FB">
              <w:rPr>
                <w:color w:val="000000" w:themeColor="text1"/>
                <w:sz w:val="24"/>
              </w:rPr>
              <w:t>ов</w:t>
            </w:r>
            <w:r w:rsidRPr="008C17FB">
              <w:rPr>
                <w:color w:val="000000" w:themeColor="text1"/>
                <w:sz w:val="24"/>
              </w:rPr>
              <w:t xml:space="preserve"> на технологическое присоединение к планируемому к строительству (расширению) объекту</w:t>
            </w:r>
            <w:r w:rsidR="002201FA" w:rsidRPr="008C17FB">
              <w:rPr>
                <w:color w:val="000000" w:themeColor="text1"/>
                <w:sz w:val="24"/>
              </w:rPr>
              <w:t>;</w:t>
            </w:r>
          </w:p>
          <w:p w:rsidR="000E7021" w:rsidRPr="008C17FB" w:rsidRDefault="000E7021" w:rsidP="000E7021">
            <w:pPr>
              <w:pStyle w:val="12"/>
              <w:tabs>
                <w:tab w:val="left" w:pos="435"/>
              </w:tabs>
              <w:spacing w:before="0"/>
              <w:ind w:left="263" w:right="142" w:firstLine="0"/>
              <w:rPr>
                <w:color w:val="000000" w:themeColor="text1"/>
                <w:sz w:val="24"/>
              </w:rPr>
            </w:pPr>
          </w:p>
          <w:p w:rsidR="000E7021" w:rsidRPr="008C17FB" w:rsidRDefault="000E7021" w:rsidP="000E7021">
            <w:pPr>
              <w:pStyle w:val="12"/>
              <w:tabs>
                <w:tab w:val="left" w:pos="435"/>
              </w:tabs>
              <w:spacing w:before="0"/>
              <w:ind w:left="263" w:right="142" w:firstLine="0"/>
            </w:pPr>
            <w:r w:rsidRPr="008C17FB">
              <w:t>Технические условия № Я-49/14 на технологическое присоединение к электрическим сетям АО "Янтарьэнерго» стадиона Чемпионата мира ФИФА 2018г. в  г. Калининграде  по улице Набережная Генерала Карбышева.</w:t>
            </w:r>
            <w:r w:rsidRPr="008C17FB">
              <w:tab/>
            </w:r>
          </w:p>
          <w:p w:rsidR="000E7021" w:rsidRPr="008C17FB" w:rsidRDefault="000E7021" w:rsidP="000E7021">
            <w:pPr>
              <w:pStyle w:val="12"/>
              <w:tabs>
                <w:tab w:val="left" w:pos="435"/>
              </w:tabs>
              <w:spacing w:before="0"/>
              <w:ind w:left="263" w:right="142" w:firstLine="0"/>
              <w:rPr>
                <w:color w:val="000000" w:themeColor="text1"/>
                <w:sz w:val="24"/>
              </w:rPr>
            </w:pPr>
          </w:p>
          <w:p w:rsidR="00B26FC3" w:rsidRPr="008C17FB" w:rsidRDefault="00B26FC3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  <w:tab w:val="left" w:pos="435"/>
              </w:tabs>
              <w:spacing w:before="0"/>
              <w:ind w:left="263" w:right="142" w:hanging="141"/>
              <w:rPr>
                <w:color w:val="000000" w:themeColor="text1"/>
                <w:sz w:val="24"/>
              </w:rPr>
            </w:pPr>
            <w:r w:rsidRPr="008C17FB">
              <w:rPr>
                <w:color w:val="000000" w:themeColor="text1"/>
                <w:sz w:val="24"/>
                <w:lang w:eastAsia="ru-RU"/>
              </w:rPr>
              <w:t>снятие сетевых ограничений на возможность прис</w:t>
            </w:r>
            <w:r w:rsidR="009E0F4E" w:rsidRPr="008C17FB">
              <w:rPr>
                <w:color w:val="000000" w:themeColor="text1"/>
                <w:sz w:val="24"/>
                <w:lang w:eastAsia="ru-RU"/>
              </w:rPr>
              <w:t>оединения к электрическим сетям.</w:t>
            </w:r>
          </w:p>
          <w:p w:rsidR="00A963F3" w:rsidRPr="008C17FB" w:rsidRDefault="00A963F3" w:rsidP="00A963F3">
            <w:pPr>
              <w:shd w:val="clear" w:color="auto" w:fill="FFFFFF"/>
              <w:spacing w:line="360" w:lineRule="auto"/>
              <w:ind w:right="14" w:firstLine="360"/>
              <w:jc w:val="both"/>
              <w:rPr>
                <w:color w:val="000000" w:themeColor="text1"/>
              </w:rPr>
            </w:pPr>
          </w:p>
          <w:p w:rsidR="003C21E6" w:rsidRPr="008C17FB" w:rsidRDefault="003C21E6" w:rsidP="003C21E6">
            <w:pPr>
              <w:jc w:val="both"/>
              <w:rPr>
                <w:color w:val="000000" w:themeColor="text1"/>
                <w:sz w:val="24"/>
              </w:rPr>
            </w:pPr>
            <w:r w:rsidRPr="008C17FB">
              <w:rPr>
                <w:color w:val="000000" w:themeColor="text1"/>
                <w:sz w:val="24"/>
              </w:rPr>
              <w:t>Официальными документами основания для включения ИП в ИПР являются:</w:t>
            </w:r>
          </w:p>
          <w:p w:rsidR="003C21E6" w:rsidRPr="008C17FB" w:rsidRDefault="003C21E6" w:rsidP="00C61D6F">
            <w:pPr>
              <w:pStyle w:val="12"/>
              <w:ind w:left="0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0E7021" w:rsidRPr="008C17FB" w:rsidRDefault="000E7021" w:rsidP="00565492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8C17FB">
              <w:rPr>
                <w:color w:val="000000" w:themeColor="text1"/>
                <w:sz w:val="24"/>
                <w:szCs w:val="24"/>
                <w:lang w:eastAsia="ru-RU"/>
              </w:rPr>
              <w:t>Постановление Правительства РФ от 20.06.2013г. №518 «О программе подготовки к проведению в 2018 году в Российской Федерации чемпионата мира по футболу»;</w:t>
            </w:r>
          </w:p>
          <w:p w:rsidR="00565492" w:rsidRPr="008C17FB" w:rsidRDefault="00565492" w:rsidP="00565492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8C17FB">
              <w:rPr>
                <w:color w:val="000000" w:themeColor="text1"/>
                <w:sz w:val="24"/>
                <w:szCs w:val="24"/>
                <w:lang w:eastAsia="ru-RU"/>
              </w:rPr>
              <w:t>Чемпионат мира по футболу в 2018 году (утвержденная градостроительная концепция развития территории между руслами рек Старая и Новая Преголи в г. Калининграде в рамках подготовки к чемпионату мира по футболу 2018 года)</w:t>
            </w:r>
            <w:r w:rsidR="00517829" w:rsidRPr="008C17FB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517829" w:rsidRPr="008C17FB" w:rsidRDefault="00517829" w:rsidP="00517829">
            <w:pPr>
              <w:pStyle w:val="12"/>
              <w:numPr>
                <w:ilvl w:val="0"/>
                <w:numId w:val="24"/>
              </w:numPr>
              <w:ind w:left="476" w:hanging="238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8C17FB">
              <w:rPr>
                <w:color w:val="000000" w:themeColor="text1"/>
                <w:sz w:val="24"/>
                <w:szCs w:val="24"/>
                <w:lang w:eastAsia="ru-RU"/>
              </w:rPr>
              <w:t>Схема и программа перспективного развития электроэнергетики Калининградской области на период 201</w:t>
            </w:r>
            <w:r w:rsidR="005A6046" w:rsidRPr="008C17FB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8C17FB">
              <w:rPr>
                <w:color w:val="000000" w:themeColor="text1"/>
                <w:sz w:val="24"/>
                <w:szCs w:val="24"/>
                <w:lang w:eastAsia="ru-RU"/>
              </w:rPr>
              <w:t>-201</w:t>
            </w:r>
            <w:r w:rsidR="005A6046" w:rsidRPr="008C17FB">
              <w:rPr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8C17FB">
              <w:rPr>
                <w:color w:val="000000" w:themeColor="text1"/>
                <w:sz w:val="24"/>
                <w:szCs w:val="24"/>
                <w:lang w:eastAsia="ru-RU"/>
              </w:rPr>
              <w:t xml:space="preserve"> гг</w:t>
            </w:r>
            <w:r w:rsidR="005A6046" w:rsidRPr="008C17FB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B13A2" w:rsidRPr="008C17FB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A447DE" w:rsidRPr="008C17FB" w:rsidRDefault="002108AC" w:rsidP="00FD2D3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Проект </w:t>
            </w:r>
            <w:r w:rsidR="00FD2D37" w:rsidRPr="008C17FB">
              <w:rPr>
                <w:color w:val="000000" w:themeColor="text1"/>
                <w:sz w:val="24"/>
                <w:szCs w:val="24"/>
              </w:rPr>
              <w:t>строительства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не затрагивает вопросы обеспеченности топливом, а также вопросы выдачи мощности в ЕЭС России.</w:t>
            </w:r>
          </w:p>
          <w:p w:rsidR="0069177C" w:rsidRPr="008C17FB" w:rsidRDefault="0069177C" w:rsidP="00FD2D37">
            <w:pPr>
              <w:jc w:val="both"/>
              <w:rPr>
                <w:color w:val="000000" w:themeColor="text1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:rsidR="00BF5B29" w:rsidRPr="008C17FB" w:rsidRDefault="00BF5B29" w:rsidP="0069177C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31645033"/>
      <w:bookmarkStart w:id="4" w:name="_Toc309840740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Юридический статус объекта инвестиций</w:t>
      </w:r>
      <w:bookmarkEnd w:id="3"/>
      <w:bookmarkEnd w:id="4"/>
    </w:p>
    <w:p w:rsidR="00F52B72" w:rsidRPr="008C17FB" w:rsidRDefault="00F52B72" w:rsidP="00F52B72">
      <w:pPr>
        <w:rPr>
          <w:color w:val="000000" w:themeColor="text1"/>
        </w:rPr>
      </w:pPr>
    </w:p>
    <w:p w:rsidR="008C3715" w:rsidRPr="008C17FB" w:rsidRDefault="008C3715" w:rsidP="00F52B72">
      <w:pPr>
        <w:rPr>
          <w:color w:val="000000" w:themeColor="text1"/>
        </w:rPr>
      </w:pP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180647" w:rsidRPr="008C17FB" w:rsidTr="00180647">
        <w:tc>
          <w:tcPr>
            <w:tcW w:w="2314" w:type="dxa"/>
          </w:tcPr>
          <w:p w:rsidR="00180647" w:rsidRPr="008C17FB" w:rsidRDefault="00180647" w:rsidP="00026609">
            <w:pPr>
              <w:rPr>
                <w:b/>
                <w:color w:val="000000" w:themeColor="text1"/>
              </w:rPr>
            </w:pPr>
            <w:r w:rsidRPr="008C17FB">
              <w:rPr>
                <w:b/>
                <w:color w:val="000000" w:themeColor="text1"/>
              </w:rPr>
              <w:t xml:space="preserve">Сведение об Обществе </w:t>
            </w:r>
          </w:p>
        </w:tc>
        <w:tc>
          <w:tcPr>
            <w:tcW w:w="7096" w:type="dxa"/>
          </w:tcPr>
          <w:p w:rsidR="00180647" w:rsidRPr="008C17FB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АО «Янтарьэнерго»</w:t>
            </w:r>
          </w:p>
          <w:p w:rsidR="00180647" w:rsidRPr="008C17FB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г.Калининград, ул. Театральная 34</w:t>
            </w:r>
          </w:p>
          <w:p w:rsidR="00180647" w:rsidRPr="008C17FB" w:rsidRDefault="00180647" w:rsidP="00180647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г.Калининград, ул. Театральная 34</w:t>
            </w:r>
          </w:p>
          <w:p w:rsidR="00180647" w:rsidRPr="008C17FB" w:rsidRDefault="00BC775F" w:rsidP="00BC775F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Маковский И.В.,</w:t>
            </w:r>
            <w:r w:rsidR="00180647" w:rsidRPr="008C17FB">
              <w:rPr>
                <w:color w:val="000000" w:themeColor="text1"/>
              </w:rPr>
              <w:t xml:space="preserve"> тел.576-459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891745" w:rsidRPr="008C17FB" w:rsidTr="009B4969">
        <w:tc>
          <w:tcPr>
            <w:tcW w:w="2376" w:type="dxa"/>
          </w:tcPr>
          <w:p w:rsidR="00891745" w:rsidRPr="008C17FB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8C17FB" w:rsidRDefault="00891745" w:rsidP="0018064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4"/>
        <w:gridCol w:w="7096"/>
      </w:tblGrid>
      <w:tr w:rsidR="00180647" w:rsidRPr="008C17FB" w:rsidTr="00180647">
        <w:tc>
          <w:tcPr>
            <w:tcW w:w="2314" w:type="dxa"/>
          </w:tcPr>
          <w:p w:rsidR="00180647" w:rsidRPr="008C17FB" w:rsidRDefault="00180647" w:rsidP="00026609">
            <w:pPr>
              <w:rPr>
                <w:b/>
                <w:color w:val="000000" w:themeColor="text1"/>
              </w:rPr>
            </w:pPr>
            <w:r w:rsidRPr="008C17FB">
              <w:rPr>
                <w:b/>
                <w:color w:val="000000" w:themeColor="text1"/>
              </w:rPr>
              <w:t>Сведения о филиале</w:t>
            </w:r>
          </w:p>
        </w:tc>
        <w:tc>
          <w:tcPr>
            <w:tcW w:w="7096" w:type="dxa"/>
          </w:tcPr>
          <w:p w:rsidR="00180647" w:rsidRPr="008C17FB" w:rsidRDefault="00180647" w:rsidP="00026609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«Западные электрические сети»</w:t>
            </w:r>
          </w:p>
          <w:p w:rsidR="000858EF" w:rsidRPr="008C17FB" w:rsidRDefault="000858EF" w:rsidP="00026609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г. Калининград, ул. Генерала Озерова, 18</w:t>
            </w:r>
          </w:p>
          <w:p w:rsidR="00180647" w:rsidRPr="008C17FB" w:rsidRDefault="00BC775F" w:rsidP="0002171F">
            <w:pPr>
              <w:pStyle w:val="12"/>
              <w:spacing w:before="0"/>
              <w:ind w:left="476" w:firstLine="0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___________</w:t>
            </w:r>
            <w:r w:rsidR="00180647" w:rsidRPr="008C17FB">
              <w:rPr>
                <w:color w:val="000000" w:themeColor="text1"/>
              </w:rPr>
              <w:t xml:space="preserve"> тел. 8 (4012) 21-45-93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891745" w:rsidRPr="008C17FB" w:rsidTr="009B4969">
        <w:tc>
          <w:tcPr>
            <w:tcW w:w="2376" w:type="dxa"/>
          </w:tcPr>
          <w:p w:rsidR="00891745" w:rsidRPr="008C17FB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891745" w:rsidRPr="008C17FB" w:rsidRDefault="00891745" w:rsidP="00775A7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891745" w:rsidRPr="008C17FB" w:rsidTr="009B4969">
        <w:tc>
          <w:tcPr>
            <w:tcW w:w="2376" w:type="dxa"/>
          </w:tcPr>
          <w:p w:rsidR="00891745" w:rsidRPr="008C17FB" w:rsidRDefault="00891745" w:rsidP="009B4969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Сведения об объекте инвестиций</w:t>
            </w:r>
          </w:p>
        </w:tc>
        <w:tc>
          <w:tcPr>
            <w:tcW w:w="7575" w:type="dxa"/>
          </w:tcPr>
          <w:p w:rsidR="00593340" w:rsidRPr="008C17FB" w:rsidRDefault="00593340" w:rsidP="0059334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C17FB">
              <w:rPr>
                <w:color w:val="000000" w:themeColor="text1"/>
                <w:sz w:val="24"/>
                <w:szCs w:val="24"/>
                <w:lang w:eastAsia="en-US"/>
              </w:rPr>
              <w:t>Проектируемая подстанция 110/10 кВ «Береговая» размещается в районе «острова» в  г. Калининграде и предназначена для электроснабжения стадиона Чемпионата мира ФИФА 2018г. в г. Калининграде по улице Набережная Генерала Карбышева.</w:t>
            </w:r>
          </w:p>
          <w:p w:rsidR="008C3715" w:rsidRPr="008C17FB" w:rsidRDefault="008C3715" w:rsidP="009067A4">
            <w:pPr>
              <w:pStyle w:val="12"/>
              <w:spacing w:before="0"/>
              <w:ind w:left="318" w:firstLine="158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43A82" w:rsidRPr="008C17FB" w:rsidRDefault="00543A8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309840741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5"/>
    </w:p>
    <w:p w:rsidR="00F52B72" w:rsidRPr="008C17FB" w:rsidRDefault="00F52B7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6784F" w:rsidRPr="008C17FB" w:rsidTr="00F52B72">
        <w:tc>
          <w:tcPr>
            <w:tcW w:w="2376" w:type="dxa"/>
          </w:tcPr>
          <w:p w:rsidR="0066784F" w:rsidRPr="008C17FB" w:rsidRDefault="007F1BD8" w:rsidP="00BC0722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Этап реализации проекта</w:t>
            </w:r>
          </w:p>
        </w:tc>
        <w:tc>
          <w:tcPr>
            <w:tcW w:w="7575" w:type="dxa"/>
          </w:tcPr>
          <w:p w:rsidR="00350965" w:rsidRPr="008C17FB" w:rsidRDefault="008703EF" w:rsidP="0035096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В 20</w:t>
            </w:r>
            <w:r w:rsidR="008202ED" w:rsidRPr="008C17FB">
              <w:rPr>
                <w:color w:val="000000" w:themeColor="text1"/>
                <w:sz w:val="24"/>
                <w:szCs w:val="24"/>
              </w:rPr>
              <w:t>1</w:t>
            </w:r>
            <w:r w:rsidR="00310E63" w:rsidRPr="008C17FB">
              <w:rPr>
                <w:color w:val="000000" w:themeColor="text1"/>
                <w:sz w:val="24"/>
                <w:szCs w:val="24"/>
              </w:rPr>
              <w:t>4</w:t>
            </w:r>
            <w:r w:rsidR="008A610D" w:rsidRPr="008C17FB">
              <w:rPr>
                <w:color w:val="000000" w:themeColor="text1"/>
                <w:sz w:val="24"/>
                <w:szCs w:val="24"/>
              </w:rPr>
              <w:t>-2015</w:t>
            </w:r>
            <w:r w:rsidR="007C2DF1"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  <w:r w:rsidR="008A610D" w:rsidRPr="008C17FB">
              <w:rPr>
                <w:color w:val="000000" w:themeColor="text1"/>
                <w:sz w:val="24"/>
                <w:szCs w:val="24"/>
              </w:rPr>
              <w:t>г</w:t>
            </w:r>
            <w:r w:rsidR="007C2DF1" w:rsidRPr="008C17FB">
              <w:rPr>
                <w:color w:val="000000" w:themeColor="text1"/>
                <w:sz w:val="24"/>
                <w:szCs w:val="24"/>
              </w:rPr>
              <w:t>г.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  <w:r w:rsidR="008202ED" w:rsidRPr="008C17FB">
              <w:rPr>
                <w:color w:val="000000" w:themeColor="text1"/>
                <w:sz w:val="24"/>
                <w:szCs w:val="24"/>
              </w:rPr>
              <w:t>планируется разработка проектно-сметной документации</w:t>
            </w:r>
            <w:r w:rsidR="00310E63" w:rsidRPr="008C17FB">
              <w:rPr>
                <w:color w:val="000000" w:themeColor="text1"/>
                <w:sz w:val="24"/>
                <w:szCs w:val="24"/>
              </w:rPr>
              <w:t>.</w:t>
            </w:r>
          </w:p>
          <w:p w:rsidR="00717463" w:rsidRPr="008C17FB" w:rsidRDefault="00717463" w:rsidP="00350965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BC3666" w:rsidRPr="008C17FB" w:rsidRDefault="00F57373" w:rsidP="00310E6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В 201</w:t>
            </w:r>
            <w:r w:rsidR="007309A0" w:rsidRPr="008C17FB">
              <w:rPr>
                <w:color w:val="000000" w:themeColor="text1"/>
                <w:sz w:val="24"/>
                <w:szCs w:val="24"/>
              </w:rPr>
              <w:t>6</w:t>
            </w:r>
            <w:r w:rsidR="00AF7EF9" w:rsidRPr="008C17FB">
              <w:rPr>
                <w:color w:val="000000" w:themeColor="text1"/>
                <w:sz w:val="24"/>
                <w:szCs w:val="24"/>
              </w:rPr>
              <w:t>-2017</w:t>
            </w:r>
            <w:r w:rsidR="00310E63" w:rsidRPr="008C17FB">
              <w:rPr>
                <w:color w:val="000000" w:themeColor="text1"/>
                <w:sz w:val="24"/>
                <w:szCs w:val="24"/>
              </w:rPr>
              <w:t xml:space="preserve"> гг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. планируется </w:t>
            </w:r>
            <w:r w:rsidR="00BC3666" w:rsidRPr="008C17FB">
              <w:rPr>
                <w:color w:val="000000" w:themeColor="text1"/>
                <w:sz w:val="24"/>
                <w:szCs w:val="24"/>
              </w:rPr>
              <w:t>поставка оборудования, выполнение СМР и ПНР</w:t>
            </w:r>
            <w:r w:rsidR="007309A0" w:rsidRPr="008C17FB">
              <w:rPr>
                <w:color w:val="000000" w:themeColor="text1"/>
                <w:sz w:val="24"/>
                <w:szCs w:val="24"/>
              </w:rPr>
              <w:t xml:space="preserve"> с вводом в 2017 г. - 2х25 МВА трансформаторной мощности и 1,655 км линий электропередач</w:t>
            </w:r>
            <w:r w:rsidR="00BC3666" w:rsidRPr="008C17FB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8703EF" w:rsidRPr="008C17FB" w:rsidRDefault="00313794" w:rsidP="002F007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6784F" w:rsidRPr="008C17FB" w:rsidTr="00F52B72">
        <w:tc>
          <w:tcPr>
            <w:tcW w:w="2376" w:type="dxa"/>
          </w:tcPr>
          <w:p w:rsidR="0066784F" w:rsidRPr="008C17FB" w:rsidRDefault="003A1EA5" w:rsidP="00BC0722">
            <w:pPr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7575" w:type="dxa"/>
          </w:tcPr>
          <w:p w:rsidR="006F57C4" w:rsidRPr="008C17FB" w:rsidRDefault="006F57C4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В соответствии с техническими условиями №Я-49/14 подстанция организуется закрытого типа, с установкой двух силовых трансформаторов и распределительных устройств 110 и 10 кВ в совмещенном производственном здании (далее СПЗ). СПЗ организуется в соответствии с требованиями распоряжения «ФСК ЕЭС» №463 от 30.06.2011.</w:t>
            </w:r>
          </w:p>
          <w:p w:rsidR="006F57C4" w:rsidRPr="008C17FB" w:rsidRDefault="006F57C4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Для связи ПС «Береговая» с энергосистемой предусматривается организация распределительного устройства напряжением 110 кВ. </w:t>
            </w:r>
            <w:r w:rsidR="00DB5A89" w:rsidRPr="008C17FB">
              <w:rPr>
                <w:color w:val="595959" w:themeColor="text1" w:themeTint="A6"/>
                <w:sz w:val="24"/>
                <w:szCs w:val="24"/>
              </w:rPr>
              <w:t xml:space="preserve">Согласно техническим условиям 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>№ Я-49/14 распределительное устройство 110 кВ принимается с элегазовой изоляцией.</w:t>
            </w:r>
          </w:p>
          <w:p w:rsidR="00131E63" w:rsidRPr="008C17FB" w:rsidRDefault="006F57C4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По способу подключения к сети проектируемая подстанция относится к узловому типу. </w:t>
            </w:r>
            <w:r w:rsidR="00131E63" w:rsidRPr="008C17FB">
              <w:rPr>
                <w:color w:val="595959" w:themeColor="text1" w:themeTint="A6"/>
                <w:sz w:val="24"/>
                <w:szCs w:val="24"/>
              </w:rPr>
              <w:t xml:space="preserve">Подключение ПС к энергосистеме 110 кВ предусматривается включением линий питания ПС «Береговая» шлейфом в существующие линии 110 кВ №№115 и 116, соответственно  источником поступления электроэнергии на ПС являются ПС «Северная» и ПС «Центральная» к распредустройствам  110 кВ которых подключены данные линии. Надежность поступления электроэнергии на ПС «Береговая» обеспечивается наличием двух независимых источников (ПС «Северная и ПС «Центральная»), каждый из которых имеет подключение к шинам ПС «Береговая» по двум независимым КВЛ 110 кВ. </w:t>
            </w:r>
          </w:p>
          <w:p w:rsidR="00131E63" w:rsidRPr="008C17FB" w:rsidRDefault="00131E63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Согласно техническим условиям на технологическое присоединение к электрическим сетям потребители подстанции относятся ко II-ой категории электроснабжения по ПУЭ. Для обеспечения данной категории электроснабжения потребителей </w:t>
            </w:r>
            <w:r w:rsidRPr="008C17FB">
              <w:rPr>
                <w:color w:val="595959" w:themeColor="text1" w:themeTint="A6"/>
                <w:sz w:val="24"/>
                <w:szCs w:val="24"/>
              </w:rPr>
              <w:lastRenderedPageBreak/>
              <w:t>подстанция должны иметь два независимых источника поступления сырья (электроэнергии напряжением 110 кВ). В качестве независимых источников поступления сырья для ПС используются шины ОРУ-110 кВ ПС «Северная» и ПС «Центральная».</w:t>
            </w:r>
          </w:p>
          <w:p w:rsidR="00E2187E" w:rsidRPr="008C17FB" w:rsidRDefault="004B53B0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Проектом</w:t>
            </w:r>
            <w:r w:rsidR="00A13C0D" w:rsidRPr="008C17FB">
              <w:rPr>
                <w:color w:val="595959" w:themeColor="text1" w:themeTint="A6"/>
                <w:sz w:val="24"/>
                <w:szCs w:val="24"/>
              </w:rPr>
              <w:t xml:space="preserve"> </w:t>
            </w:r>
            <w:r w:rsidR="00D86904" w:rsidRPr="008C17FB">
              <w:rPr>
                <w:color w:val="595959" w:themeColor="text1" w:themeTint="A6"/>
                <w:sz w:val="24"/>
                <w:szCs w:val="24"/>
              </w:rPr>
              <w:t xml:space="preserve">для ПС «Береговая» </w:t>
            </w:r>
            <w:r w:rsidR="00A13C0D" w:rsidRPr="008C17FB">
              <w:rPr>
                <w:color w:val="595959" w:themeColor="text1" w:themeTint="A6"/>
                <w:sz w:val="24"/>
                <w:szCs w:val="24"/>
              </w:rPr>
              <w:t>п</w:t>
            </w:r>
            <w:r w:rsidR="00E2187E" w:rsidRPr="008C17FB">
              <w:rPr>
                <w:color w:val="595959" w:themeColor="text1" w:themeTint="A6"/>
                <w:sz w:val="24"/>
                <w:szCs w:val="24"/>
              </w:rPr>
              <w:t>ринята к реализации схема распределительного устройства № 110-13 по СТО56947007-29.240.30.010-2008 – две рабочие системы шин, предусматривающая следующие присоединения:</w:t>
            </w:r>
          </w:p>
          <w:p w:rsidR="00E2187E" w:rsidRPr="008C17FB" w:rsidRDefault="00E2187E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Четыре высоковольтных кабельно-воздушных линии 110 кВ</w:t>
            </w:r>
            <w:r w:rsidR="008C51A0" w:rsidRPr="008C17FB">
              <w:rPr>
                <w:color w:val="595959" w:themeColor="text1" w:themeTint="A6"/>
                <w:sz w:val="24"/>
                <w:szCs w:val="24"/>
              </w:rPr>
              <w:t xml:space="preserve"> общей  протяженностью  1,655 км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>;</w:t>
            </w:r>
          </w:p>
          <w:p w:rsidR="00E2187E" w:rsidRPr="008C17FB" w:rsidRDefault="00E2187E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Две кабельных линии присоединения силовых трансформаторов;</w:t>
            </w:r>
          </w:p>
          <w:p w:rsidR="00E2187E" w:rsidRPr="008C17FB" w:rsidRDefault="00E2187E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Шиносоединительный выключатель;</w:t>
            </w:r>
          </w:p>
          <w:p w:rsidR="00E2187E" w:rsidRPr="008C17FB" w:rsidRDefault="00E2187E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Трансформатор напряжения для каждой системы шин.</w:t>
            </w:r>
          </w:p>
          <w:p w:rsidR="00E2187E" w:rsidRPr="008C17FB" w:rsidRDefault="00E2187E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При разработке проекта ПС принимается во внимание дальнейшее расширение распредустройства 110 кВ на два линейных присоединения.</w:t>
            </w:r>
          </w:p>
          <w:p w:rsidR="00E2187E" w:rsidRPr="008C17FB" w:rsidRDefault="00E2187E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Исходя из требований технических условий на присоединение №Я-49/14, схема реализуется на основе комплектного распределительного устройства 110 кВ (далее КРУЭ 110 кВ). </w:t>
            </w:r>
          </w:p>
          <w:p w:rsidR="00E2187E" w:rsidRPr="008C17FB" w:rsidRDefault="00E2187E" w:rsidP="007142C1">
            <w:pPr>
              <w:tabs>
                <w:tab w:val="left" w:pos="851"/>
              </w:tabs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Согласно технические условиям на технологическое присоединение к электрическим сетям, в соответствии с техническим заданием на проектирование, а также, учитывая требования к надежности</w:t>
            </w:r>
            <w:r w:rsidR="00055F85" w:rsidRPr="008C17FB">
              <w:rPr>
                <w:color w:val="595959" w:themeColor="text1" w:themeTint="A6"/>
                <w:sz w:val="24"/>
                <w:szCs w:val="24"/>
              </w:rPr>
              <w:t xml:space="preserve"> электроснабжения потребителей, 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>на подстанции устанавливается два силовых масляных трансформатора типа ТРДНС-25000/110-У1, номинальной мощностью   25 МВА каждый.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Учитывая требования, предъявляемые к качеству электроэнергии, на высшем напряжения трансформатора предусматривается установка устройства регулирования напряжения под нагрузкой (РПН) с пределами регулирования ±9х1,78%.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Для обеспечения надежного срабатывания релейной защиты на отключение однофазных коротких замыканий предусматривается заземление нейтрали силового трансформатора с установкой в цепи заземления  однофазного заземлителя с ручным приводом и ограничителя перенапряжений, подключаемого параллельно заземлителю. 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Присоединение силовых трансформаторов к шинам КРУЭ 110 кВ предусматривается кабелем с изоляцией из сшитого полиэтилена.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В следствии применения силовых трансформаторов с расщепленной обмоткой НН, токи короткого замыкания на шинах 10 кВ ПС не превышают значения 9 кА, установка дополнительного оборудования для ограничения токов короткого замыкания в цепи электроснабжения РУ-10 кВ не предусматривается.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Согласно техническому заданию, распределительное устройство 10 кВ выполняется по типовой схеме 10-2 «две рабочие секционированные системы шин». Для организации РУ-10 кВ предусматривается установка тридцати шести ячеек 10 кВ с элегазовой изоляцией</w:t>
            </w:r>
            <w:r w:rsidR="004B53B0" w:rsidRPr="008C17FB">
              <w:rPr>
                <w:color w:val="595959" w:themeColor="text1" w:themeTint="A6"/>
                <w:sz w:val="24"/>
                <w:szCs w:val="24"/>
              </w:rPr>
              <w:t xml:space="preserve"> (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КРУЭ 10 кВ), в состав которых входят: 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четыре ячейки вводов от силовых трансформаторов;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- восемнадцать ячеек (в том числе десять резервных) для организации отходящих присоединений; 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две ячейки секционных выключателей;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четыре ячейки шинных трансформаторов напряжения;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- две ячейки для подключения трансформаторов собственных </w:t>
            </w:r>
            <w:r w:rsidRPr="008C17FB">
              <w:rPr>
                <w:color w:val="595959" w:themeColor="text1" w:themeTint="A6"/>
                <w:sz w:val="24"/>
                <w:szCs w:val="24"/>
              </w:rPr>
              <w:lastRenderedPageBreak/>
              <w:t>нужд;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четыре ячейки для подключения к шинам дугогасящих реакторов.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Для компенсации емкостных токов однофазных замыканий на землю в сети 10 кВ согласно п. 1.2.16  ПУЭ, к каждой секции 10 кВ предусматривается подключение дугогасящих управляемых реакторов (далее ДГР), комбинированных с фильтрами присоединения нулевой последовательности и сопротивлением. 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Для питания потребителей собственных нужд подстанции, предусматривается установка двух трансформаторов собственных нужд с сухой изоляцией (далее по тексту – ТСН) типа ТСЗ мощностью по 630 кВА каждый, напряжением 6/0,4 кВ, которые подключаются через кабельные линии на разные секции систем шин 10 кВ и работают по схеме неявного резерва. 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Соединение силовых трансформаторов с вводными ячейками КРУЭ 10 кВ, присоединение к шинам 10 кВ ДГР и ТСН предусматривается кабелем с изоляцией из сшитого полиэтилена.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Для распределения нагрузки по потребителям собственных нужд СПЗ организуется щит собственных нужд 0,4 кВ (далее по тексту – ЩСН). 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Оперативный ток на подстанции принимается постоянный, напряжением 220 В.</w:t>
            </w:r>
          </w:p>
          <w:p w:rsidR="00E2187E" w:rsidRPr="008C17FB" w:rsidRDefault="00E2187E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Согласно п. 5.1.4 СТО 56947007-29.120.40.093-2011 система оперативного постоянного тока (далее СОПТ) для подстанций организованных по схеме № «110-13» включает в себя две аккумуляторных батареи, четыре зарядно-подзарядных устройства и два щита постоянного тока. </w:t>
            </w:r>
          </w:p>
          <w:p w:rsidR="00CD28EF" w:rsidRPr="008C17FB" w:rsidRDefault="00CD28EF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</w:p>
          <w:p w:rsidR="00CE3922" w:rsidRPr="008C17FB" w:rsidRDefault="004B53B0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Проектом </w:t>
            </w:r>
            <w:r w:rsidR="00CE3922" w:rsidRPr="008C17FB">
              <w:rPr>
                <w:color w:val="595959" w:themeColor="text1" w:themeTint="A6"/>
                <w:sz w:val="24"/>
                <w:szCs w:val="24"/>
              </w:rPr>
              <w:t xml:space="preserve">к установке на 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 xml:space="preserve">ПС «Береговая» </w:t>
            </w:r>
            <w:r w:rsidR="00CE3922" w:rsidRPr="008C17FB">
              <w:rPr>
                <w:color w:val="595959" w:themeColor="text1" w:themeTint="A6"/>
                <w:sz w:val="24"/>
                <w:szCs w:val="24"/>
              </w:rPr>
              <w:t xml:space="preserve">принято следующее электрооборудование: 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Комплектное распределительное устройство с элегазовой изоляцией, на номинальное напряжение 145 кВ, номинальный ток сборных шин и отходящих присоединений 3150 А, ток отключения короткого замыкания 40 кА, состоящего из восьми ячеек, комплектуется разъединителями с электродвигательным приводом и антирезонансными трансформаторами напряжения;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Силовые двухобмоточные трансформаторы с расщепленной обмоткой низкого напряжения типа ТРДНС-25000/110-У1, номинальной мощностью 25 МВА, с напряжением обмоток – 115/10,5-10,5 кВ, схемой и группой соединений Yн/D-D-11-11;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Кабельные муфты 110 кВ;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Заземлители нейтрали силового трансформатора;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Ограничители перенапряжений в нейтрали силового трансформатора;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Комплектное распределительное устройство с элегазовой изоляцией (36 ячеек), на номинальное напряжение 12 кВ, номинальный ток сборных шин 2500 А, номинальный ток отключения 31,5 кА;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Ограничители перенапряжений нелинейные, на номинальное напряжение 10 кВ, класс пропускной способности не ниже 2;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- Реакторы дугогасящие масляные с плавным регулированием (плунжерного типа), комбинированные в общем корпусе с нейтралеобразующими трансформаторами,  на номинальное напряжение 10 кВ, мощностью 480 кВА;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lastRenderedPageBreak/>
              <w:t xml:space="preserve">- Трансформаторы силовые, двухобмоточные, с сухой литой </w:t>
            </w:r>
            <w:r w:rsidR="001C4B87" w:rsidRPr="008C17FB">
              <w:rPr>
                <w:color w:val="595959" w:themeColor="text1" w:themeTint="A6"/>
                <w:sz w:val="24"/>
                <w:szCs w:val="24"/>
              </w:rPr>
              <w:t xml:space="preserve">изоляцией, мощностью 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>630 кВА, номинальное напряжение обмоток ВН/НН – 10,5/0,4 кВ, схема соединения обмоток Д/Yн-11, типа ТСЗ.</w:t>
            </w:r>
          </w:p>
          <w:p w:rsidR="00CE3922" w:rsidRPr="008C17FB" w:rsidRDefault="00CE3922" w:rsidP="007142C1">
            <w:pPr>
              <w:ind w:firstLine="56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Для присоединения силовых трансформаторов к шинам КРУЭ 110 кВ предусматривается использование кабеля типа ПвВнг(А)-</w:t>
            </w:r>
            <w:r w:rsidRPr="008C17FB">
              <w:rPr>
                <w:color w:val="595959" w:themeColor="text1" w:themeTint="A6"/>
                <w:sz w:val="24"/>
                <w:szCs w:val="24"/>
                <w:lang w:val="en-US"/>
              </w:rPr>
              <w:t>LS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>-1х185/95.</w:t>
            </w:r>
          </w:p>
          <w:p w:rsidR="004F1B1F" w:rsidRPr="008C17FB" w:rsidRDefault="00CE3922" w:rsidP="007142C1">
            <w:pPr>
              <w:ind w:firstLine="567"/>
              <w:jc w:val="both"/>
              <w:rPr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Для соединения силовых трансформаторов с вводными ячейками КРУЭ 10 кВ предусматривается использование кабеля ПвВнг(А)-</w:t>
            </w:r>
            <w:r w:rsidRPr="008C17FB">
              <w:rPr>
                <w:color w:val="595959" w:themeColor="text1" w:themeTint="A6"/>
                <w:sz w:val="24"/>
                <w:szCs w:val="24"/>
                <w:lang w:val="en-US"/>
              </w:rPr>
              <w:t>LS</w:t>
            </w:r>
            <w:r w:rsidRPr="008C17FB">
              <w:rPr>
                <w:color w:val="595959" w:themeColor="text1" w:themeTint="A6"/>
                <w:sz w:val="24"/>
                <w:szCs w:val="24"/>
              </w:rPr>
              <w:t>-2х(1х240/25).</w:t>
            </w:r>
          </w:p>
        </w:tc>
      </w:tr>
    </w:tbl>
    <w:p w:rsidR="00215E12" w:rsidRPr="008C17FB" w:rsidRDefault="00215E12" w:rsidP="00BD4CF8">
      <w:pPr>
        <w:rPr>
          <w:color w:val="000000" w:themeColor="text1"/>
        </w:rPr>
      </w:pPr>
      <w:bookmarkStart w:id="6" w:name="_Ref298928305"/>
    </w:p>
    <w:p w:rsidR="003453D4" w:rsidRPr="008C17FB" w:rsidRDefault="003453D4" w:rsidP="00BD4CF8">
      <w:pPr>
        <w:rPr>
          <w:color w:val="000000" w:themeColor="text1"/>
        </w:rPr>
      </w:pPr>
    </w:p>
    <w:p w:rsidR="00F52B72" w:rsidRPr="008C17FB" w:rsidRDefault="009B4969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293590192"/>
      <w:bookmarkStart w:id="8" w:name="_Toc309840742"/>
      <w:bookmarkEnd w:id="6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Инвестиционные затраты</w:t>
      </w:r>
      <w:bookmarkEnd w:id="7"/>
      <w:bookmarkEnd w:id="8"/>
    </w:p>
    <w:p w:rsidR="00F52B72" w:rsidRPr="008C17FB" w:rsidRDefault="00F52B72" w:rsidP="00F52B72">
      <w:pPr>
        <w:rPr>
          <w:color w:val="000000" w:themeColor="text1"/>
        </w:rPr>
      </w:pPr>
    </w:p>
    <w:p w:rsidR="00215E12" w:rsidRPr="008C17FB" w:rsidRDefault="00215E12" w:rsidP="00F52B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D7C09" w:rsidRPr="008C17FB" w:rsidTr="00F52B72">
        <w:tc>
          <w:tcPr>
            <w:tcW w:w="2376" w:type="dxa"/>
          </w:tcPr>
          <w:p w:rsidR="006D7C09" w:rsidRPr="008C17FB" w:rsidRDefault="006D7C0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Определение величины инвестиционных затрат</w:t>
            </w:r>
          </w:p>
        </w:tc>
        <w:tc>
          <w:tcPr>
            <w:tcW w:w="7575" w:type="dxa"/>
          </w:tcPr>
          <w:p w:rsidR="00DC4A62" w:rsidRPr="008C17FB" w:rsidRDefault="00DC4A62" w:rsidP="00DC4A6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В качестве источника определения величины инвестиционных затрат использован сборник укрупненных показателей стоимости строительства (реконструкции) подстанций и линий электропередачи для нужд ОАО «Холдинг МРСК», утвержденный приказом                       ОАО «Холдинг МРСК» № 488 от 20.09.2012 г.</w:t>
            </w:r>
          </w:p>
          <w:p w:rsidR="00F52B72" w:rsidRPr="008C17FB" w:rsidRDefault="00F52B72" w:rsidP="005C7B5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8C17FB" w:rsidTr="00F52B72">
        <w:tc>
          <w:tcPr>
            <w:tcW w:w="2376" w:type="dxa"/>
          </w:tcPr>
          <w:p w:rsidR="006D7C09" w:rsidRPr="008C17FB" w:rsidRDefault="009B4969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Обоснование инвестиционных затрат</w:t>
            </w:r>
          </w:p>
        </w:tc>
        <w:tc>
          <w:tcPr>
            <w:tcW w:w="7575" w:type="dxa"/>
          </w:tcPr>
          <w:p w:rsidR="00F52B72" w:rsidRPr="008C17FB" w:rsidRDefault="005C7B59" w:rsidP="000D18CD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В</w:t>
            </w:r>
            <w:r w:rsidR="00B322F2" w:rsidRPr="008C17FB">
              <w:rPr>
                <w:color w:val="000000" w:themeColor="text1"/>
                <w:sz w:val="24"/>
                <w:szCs w:val="24"/>
              </w:rPr>
              <w:t xml:space="preserve"> качестве </w:t>
            </w:r>
            <w:r w:rsidR="009942B6" w:rsidRPr="008C17FB">
              <w:rPr>
                <w:color w:val="000000" w:themeColor="text1"/>
                <w:sz w:val="24"/>
                <w:szCs w:val="24"/>
              </w:rPr>
              <w:t>обосновывающего документа</w:t>
            </w:r>
            <w:r w:rsidR="00B322F2" w:rsidRPr="008C17FB">
              <w:rPr>
                <w:color w:val="000000" w:themeColor="text1"/>
                <w:sz w:val="24"/>
                <w:szCs w:val="24"/>
              </w:rPr>
              <w:t xml:space="preserve"> к бизнес-плану </w:t>
            </w:r>
            <w:r w:rsidR="009942B6" w:rsidRPr="008C17FB">
              <w:rPr>
                <w:color w:val="000000" w:themeColor="text1"/>
                <w:sz w:val="24"/>
                <w:szCs w:val="24"/>
              </w:rPr>
              <w:t>представ</w:t>
            </w:r>
            <w:r w:rsidRPr="008C17FB">
              <w:rPr>
                <w:color w:val="000000" w:themeColor="text1"/>
                <w:sz w:val="24"/>
                <w:szCs w:val="24"/>
              </w:rPr>
              <w:t>лен</w:t>
            </w:r>
            <w:r w:rsidR="000D18CD" w:rsidRPr="008C17FB">
              <w:rPr>
                <w:color w:val="000000" w:themeColor="text1"/>
                <w:sz w:val="24"/>
                <w:szCs w:val="24"/>
              </w:rPr>
              <w:t xml:space="preserve"> укрупненный сметный расчет.</w:t>
            </w:r>
          </w:p>
          <w:p w:rsidR="00717463" w:rsidRPr="008C17FB" w:rsidRDefault="00717463" w:rsidP="000D18CD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717463" w:rsidRPr="008C17FB" w:rsidRDefault="00717463" w:rsidP="000D18CD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D7C09" w:rsidRPr="008C17FB" w:rsidTr="00F52B72">
        <w:tc>
          <w:tcPr>
            <w:tcW w:w="2376" w:type="dxa"/>
          </w:tcPr>
          <w:p w:rsidR="006D7C09" w:rsidRPr="008C17FB" w:rsidRDefault="00D64190" w:rsidP="00D64190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Структура и</w:t>
            </w:r>
            <w:r w:rsidR="004033C6" w:rsidRPr="008C17FB">
              <w:rPr>
                <w:b/>
                <w:color w:val="000000" w:themeColor="text1"/>
                <w:sz w:val="24"/>
                <w:szCs w:val="24"/>
              </w:rPr>
              <w:t>нвестицион</w:t>
            </w:r>
            <w:r w:rsidRPr="008C17FB">
              <w:rPr>
                <w:b/>
                <w:color w:val="000000" w:themeColor="text1"/>
                <w:sz w:val="24"/>
                <w:szCs w:val="24"/>
              </w:rPr>
              <w:t xml:space="preserve">ных </w:t>
            </w:r>
            <w:r w:rsidR="004033C6" w:rsidRPr="008C17FB">
              <w:rPr>
                <w:b/>
                <w:color w:val="000000" w:themeColor="text1"/>
                <w:sz w:val="24"/>
                <w:szCs w:val="24"/>
              </w:rPr>
              <w:t>затрат</w:t>
            </w:r>
          </w:p>
        </w:tc>
        <w:tc>
          <w:tcPr>
            <w:tcW w:w="7575" w:type="dxa"/>
          </w:tcPr>
          <w:p w:rsidR="000604B3" w:rsidRPr="008C17FB" w:rsidRDefault="00C52142" w:rsidP="00C5214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Согласно укрупненному сметному расчету инвестиционные затраты по проекту в ценах 4 кв. 2014 г. составят</w:t>
            </w:r>
            <w:r w:rsidR="00E10493"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  <w:r w:rsidR="001822F7" w:rsidRPr="008C17FB">
              <w:rPr>
                <w:color w:val="000000" w:themeColor="text1"/>
                <w:sz w:val="24"/>
                <w:szCs w:val="24"/>
              </w:rPr>
              <w:t>9</w:t>
            </w:r>
            <w:r w:rsidR="001C4B87" w:rsidRPr="008C17FB">
              <w:rPr>
                <w:color w:val="000000" w:themeColor="text1"/>
                <w:sz w:val="24"/>
                <w:szCs w:val="24"/>
              </w:rPr>
              <w:t>40 461</w:t>
            </w:r>
            <w:r w:rsidR="005A5C99"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0493"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  <w:r w:rsidR="005A5C99" w:rsidRPr="008C17FB">
              <w:rPr>
                <w:color w:val="000000" w:themeColor="text1"/>
                <w:sz w:val="24"/>
                <w:szCs w:val="24"/>
              </w:rPr>
              <w:t>тыс.руб.</w:t>
            </w:r>
            <w:r w:rsidR="004214AF" w:rsidRPr="008C17FB">
              <w:rPr>
                <w:color w:val="000000" w:themeColor="text1"/>
                <w:sz w:val="24"/>
                <w:szCs w:val="24"/>
              </w:rPr>
              <w:t xml:space="preserve"> без учета НДС.</w:t>
            </w:r>
          </w:p>
        </w:tc>
      </w:tr>
    </w:tbl>
    <w:p w:rsidR="005A5C99" w:rsidRPr="008C17FB" w:rsidRDefault="005A5C99" w:rsidP="000604B3">
      <w:pPr>
        <w:pStyle w:val="af"/>
        <w:rPr>
          <w:b/>
          <w:color w:val="000000" w:themeColor="text1"/>
        </w:rPr>
      </w:pPr>
    </w:p>
    <w:p w:rsidR="00871A5E" w:rsidRPr="008C17FB" w:rsidRDefault="00871A5E" w:rsidP="00871A5E"/>
    <w:p w:rsidR="00871A5E" w:rsidRPr="008C17FB" w:rsidRDefault="00871A5E" w:rsidP="00871A5E"/>
    <w:p w:rsidR="00DD39D8" w:rsidRPr="008C17FB" w:rsidRDefault="00DD39D8" w:rsidP="000604B3">
      <w:pPr>
        <w:pStyle w:val="af"/>
        <w:rPr>
          <w:b/>
          <w:color w:val="000000" w:themeColor="text1"/>
        </w:rPr>
      </w:pPr>
      <w:r w:rsidRPr="008C17FB">
        <w:rPr>
          <w:b/>
          <w:color w:val="000000" w:themeColor="text1"/>
        </w:rPr>
        <w:t>Таблица</w:t>
      </w:r>
      <w:r w:rsidR="000604B3" w:rsidRPr="008C17FB">
        <w:rPr>
          <w:b/>
          <w:color w:val="000000" w:themeColor="text1"/>
        </w:rPr>
        <w:t xml:space="preserve"> </w:t>
      </w:r>
      <w:r w:rsidR="0076615E" w:rsidRPr="008C17FB">
        <w:rPr>
          <w:b/>
          <w:color w:val="000000" w:themeColor="text1"/>
        </w:rPr>
        <w:t>1</w:t>
      </w:r>
      <w:r w:rsidRPr="008C17FB">
        <w:rPr>
          <w:b/>
          <w:color w:val="000000" w:themeColor="text1"/>
        </w:rPr>
        <w:t>. Структура инвестиционных затрат</w:t>
      </w:r>
    </w:p>
    <w:p w:rsidR="00215E12" w:rsidRPr="008C17FB" w:rsidRDefault="00215E12" w:rsidP="00215E12"/>
    <w:p w:rsidR="00215E12" w:rsidRPr="008C17FB" w:rsidRDefault="00215E12" w:rsidP="00215E12"/>
    <w:tbl>
      <w:tblPr>
        <w:tblW w:w="100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6613"/>
        <w:gridCol w:w="1222"/>
        <w:gridCol w:w="1326"/>
      </w:tblGrid>
      <w:tr w:rsidR="007330FD" w:rsidRPr="008C17FB" w:rsidTr="00F80431">
        <w:trPr>
          <w:trHeight w:val="330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8C17FB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8C17FB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  <w:sz w:val="22"/>
                <w:szCs w:val="22"/>
              </w:rPr>
              <w:t>Наименование статьи затрат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8C17FB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  <w:sz w:val="22"/>
                <w:szCs w:val="22"/>
              </w:rPr>
              <w:t>Ед.изм.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330FD" w:rsidRPr="008C17FB" w:rsidRDefault="007330FD" w:rsidP="00700753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  <w:sz w:val="22"/>
                <w:szCs w:val="22"/>
              </w:rPr>
              <w:t>Итого</w:t>
            </w:r>
          </w:p>
        </w:tc>
      </w:tr>
      <w:tr w:rsidR="002A370E" w:rsidRPr="008C17FB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1C4B87" w:rsidP="001822F7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 xml:space="preserve">940 461  </w:t>
            </w:r>
          </w:p>
        </w:tc>
      </w:tr>
      <w:tr w:rsidR="002A370E" w:rsidRPr="008C17FB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Проектно-изыскательские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1822F7" w:rsidP="001C4B87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3</w:t>
            </w:r>
            <w:r w:rsidR="001C4B87" w:rsidRPr="008C17FB">
              <w:rPr>
                <w:color w:val="000000" w:themeColor="text1"/>
              </w:rPr>
              <w:t>9 822</w:t>
            </w:r>
          </w:p>
        </w:tc>
      </w:tr>
      <w:tr w:rsidR="002A370E" w:rsidRPr="008C17FB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ind w:firstLineChars="100" w:firstLine="220"/>
              <w:jc w:val="both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1C4B87" w:rsidP="001C4B87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279 343</w:t>
            </w:r>
          </w:p>
        </w:tc>
      </w:tr>
      <w:tr w:rsidR="002A370E" w:rsidRPr="008C17FB" w:rsidTr="00F80431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1822F7" w:rsidP="001C4B87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5</w:t>
            </w:r>
            <w:r w:rsidR="001C4B87" w:rsidRPr="008C17FB">
              <w:rPr>
                <w:color w:val="000000" w:themeColor="text1"/>
              </w:rPr>
              <w:t>71 781</w:t>
            </w:r>
          </w:p>
        </w:tc>
      </w:tr>
      <w:tr w:rsidR="002A370E" w:rsidRPr="008C17FB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Здания и сооружения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>
            <w:pPr>
              <w:jc w:val="center"/>
              <w:rPr>
                <w:color w:val="000000" w:themeColor="text1"/>
              </w:rPr>
            </w:pPr>
          </w:p>
        </w:tc>
      </w:tr>
      <w:tr w:rsidR="002A370E" w:rsidRPr="008C17FB" w:rsidTr="00F80431">
        <w:trPr>
          <w:trHeight w:val="297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Получение разрешительной документации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>
            <w:pPr>
              <w:jc w:val="center"/>
              <w:rPr>
                <w:color w:val="000000" w:themeColor="text1"/>
              </w:rPr>
            </w:pPr>
          </w:p>
        </w:tc>
      </w:tr>
      <w:tr w:rsidR="002A370E" w:rsidRPr="008C17FB" w:rsidTr="00F80431">
        <w:trPr>
          <w:trHeight w:val="315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Пуско-наладочные работы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>
            <w:pPr>
              <w:jc w:val="center"/>
              <w:rPr>
                <w:color w:val="000000" w:themeColor="text1"/>
              </w:rPr>
            </w:pPr>
          </w:p>
        </w:tc>
      </w:tr>
      <w:tr w:rsidR="002A370E" w:rsidRPr="008C17FB" w:rsidTr="00F80431">
        <w:trPr>
          <w:trHeight w:val="330"/>
        </w:trPr>
        <w:tc>
          <w:tcPr>
            <w:tcW w:w="93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ind w:firstLineChars="100" w:firstLine="220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1C4B87" w:rsidP="001C4B87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49 516</w:t>
            </w:r>
          </w:p>
        </w:tc>
      </w:tr>
      <w:tr w:rsidR="002A370E" w:rsidRPr="008C17FB" w:rsidTr="00F80431">
        <w:trPr>
          <w:trHeight w:val="296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70E" w:rsidRPr="008C17FB" w:rsidRDefault="002A370E" w:rsidP="00700753">
            <w:pPr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 w:rsidP="00700753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0E" w:rsidRPr="008C17FB" w:rsidRDefault="002A370E">
            <w:pPr>
              <w:jc w:val="center"/>
              <w:rPr>
                <w:rFonts w:ascii="Calibri" w:hAnsi="Calibri" w:cs="Arial CYR"/>
                <w:color w:val="000000" w:themeColor="text1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91D47" w:rsidRPr="008C17FB" w:rsidTr="00F52B72">
        <w:tc>
          <w:tcPr>
            <w:tcW w:w="2376" w:type="dxa"/>
          </w:tcPr>
          <w:p w:rsidR="006C6441" w:rsidRPr="008C17FB" w:rsidRDefault="006C6441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6C6441" w:rsidRPr="008C17FB" w:rsidRDefault="006C6441" w:rsidP="007330FD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</w:p>
          <w:p w:rsidR="004033C6" w:rsidRPr="008C17FB" w:rsidRDefault="004033C6" w:rsidP="007330FD">
            <w:pPr>
              <w:ind w:right="193"/>
              <w:rPr>
                <w:b/>
                <w:color w:val="000000" w:themeColor="text1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Инвестиционные затраты</w:t>
            </w:r>
            <w:r w:rsidR="00A35EC5" w:rsidRPr="008C17FB">
              <w:rPr>
                <w:b/>
                <w:color w:val="000000" w:themeColor="text1"/>
              </w:rPr>
              <w:t xml:space="preserve"> </w:t>
            </w:r>
            <w:r w:rsidR="00022611" w:rsidRPr="008C17FB">
              <w:rPr>
                <w:b/>
                <w:color w:val="000000" w:themeColor="text1"/>
              </w:rPr>
              <w:t>на период строительства</w:t>
            </w:r>
          </w:p>
        </w:tc>
        <w:tc>
          <w:tcPr>
            <w:tcW w:w="7575" w:type="dxa"/>
          </w:tcPr>
          <w:p w:rsidR="006C6441" w:rsidRPr="008C17FB" w:rsidRDefault="006C6441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6C6441" w:rsidRPr="008C17FB" w:rsidRDefault="006C6441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</w:p>
          <w:p w:rsidR="00837D11" w:rsidRPr="008C17FB" w:rsidRDefault="00DB2FE3" w:rsidP="005D2BF4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Инвестиционные затраты на период </w:t>
            </w:r>
            <w:r w:rsidR="00B26143" w:rsidRPr="008C17FB">
              <w:rPr>
                <w:color w:val="000000" w:themeColor="text1"/>
                <w:sz w:val="24"/>
                <w:szCs w:val="24"/>
              </w:rPr>
              <w:t>строительства</w:t>
            </w:r>
            <w:r w:rsidR="00860CC7" w:rsidRPr="008C17FB">
              <w:rPr>
                <w:color w:val="000000" w:themeColor="text1"/>
                <w:sz w:val="24"/>
                <w:szCs w:val="24"/>
              </w:rPr>
              <w:t xml:space="preserve"> представлены 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F52B72" w:rsidRPr="008C17FB">
              <w:rPr>
                <w:color w:val="000000" w:themeColor="text1"/>
                <w:sz w:val="24"/>
                <w:szCs w:val="24"/>
              </w:rPr>
              <w:t>таблице</w:t>
            </w:r>
            <w:r w:rsidR="005D2BF4"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  <w:r w:rsidR="0076615E" w:rsidRPr="008C17FB">
              <w:rPr>
                <w:color w:val="000000" w:themeColor="text1"/>
              </w:rPr>
              <w:t>2</w:t>
            </w:r>
            <w:r w:rsidR="00F52B72" w:rsidRPr="008C17FB">
              <w:rPr>
                <w:color w:val="000000" w:themeColor="text1"/>
                <w:sz w:val="24"/>
                <w:szCs w:val="24"/>
              </w:rPr>
              <w:t>.</w:t>
            </w:r>
          </w:p>
          <w:p w:rsidR="004033C6" w:rsidRPr="008C17FB" w:rsidRDefault="004033C6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C6441" w:rsidRPr="008C17FB" w:rsidRDefault="006C6441" w:rsidP="00860CC7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39D8" w:rsidRPr="008C17FB" w:rsidRDefault="00DD39D8" w:rsidP="004033C6">
      <w:pPr>
        <w:pStyle w:val="af"/>
        <w:rPr>
          <w:color w:val="000000" w:themeColor="text1"/>
        </w:rPr>
      </w:pPr>
      <w:bookmarkStart w:id="9" w:name="_Ref291537841"/>
    </w:p>
    <w:p w:rsidR="005E414D" w:rsidRPr="008C17FB" w:rsidRDefault="00CD1891" w:rsidP="005D2BF4">
      <w:pPr>
        <w:pStyle w:val="af"/>
        <w:rPr>
          <w:b/>
          <w:color w:val="000000" w:themeColor="text1"/>
        </w:rPr>
      </w:pPr>
      <w:r w:rsidRPr="008C17FB">
        <w:rPr>
          <w:b/>
          <w:color w:val="000000" w:themeColor="text1"/>
        </w:rPr>
        <w:t>Табл</w:t>
      </w:r>
      <w:r w:rsidR="00F52B72" w:rsidRPr="008C17FB">
        <w:rPr>
          <w:b/>
          <w:color w:val="000000" w:themeColor="text1"/>
        </w:rPr>
        <w:t>ица</w:t>
      </w:r>
      <w:bookmarkEnd w:id="9"/>
      <w:r w:rsidR="005D2BF4" w:rsidRPr="008C17FB">
        <w:rPr>
          <w:b/>
          <w:color w:val="000000" w:themeColor="text1"/>
        </w:rPr>
        <w:t xml:space="preserve"> </w:t>
      </w:r>
      <w:r w:rsidR="0076615E" w:rsidRPr="008C17FB">
        <w:rPr>
          <w:b/>
          <w:color w:val="000000" w:themeColor="text1"/>
        </w:rPr>
        <w:t>2</w:t>
      </w:r>
      <w:r w:rsidRPr="008C17FB">
        <w:rPr>
          <w:b/>
          <w:color w:val="000000" w:themeColor="text1"/>
        </w:rPr>
        <w:t xml:space="preserve">. </w:t>
      </w:r>
      <w:r w:rsidR="004033C6" w:rsidRPr="008C17FB">
        <w:rPr>
          <w:b/>
          <w:color w:val="000000" w:themeColor="text1"/>
        </w:rPr>
        <w:t>Инвестиционные затраты на период строительства</w:t>
      </w:r>
    </w:p>
    <w:p w:rsidR="006C6441" w:rsidRPr="008C17FB" w:rsidRDefault="006C6441" w:rsidP="006C6441"/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2"/>
        <w:gridCol w:w="3774"/>
        <w:gridCol w:w="992"/>
        <w:gridCol w:w="1134"/>
        <w:gridCol w:w="1134"/>
        <w:gridCol w:w="1134"/>
        <w:gridCol w:w="1134"/>
      </w:tblGrid>
      <w:tr w:rsidR="00717463" w:rsidRPr="008C17FB" w:rsidTr="008527E0">
        <w:trPr>
          <w:trHeight w:val="330"/>
        </w:trPr>
        <w:tc>
          <w:tcPr>
            <w:tcW w:w="932" w:type="dxa"/>
            <w:shd w:val="clear" w:color="000000" w:fill="C5D9F1"/>
            <w:noWrap/>
            <w:vAlign w:val="center"/>
            <w:hideMark/>
          </w:tcPr>
          <w:p w:rsidR="00717463" w:rsidRPr="008C17FB" w:rsidRDefault="00717463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774" w:type="dxa"/>
            <w:shd w:val="clear" w:color="000000" w:fill="C5D9F1"/>
            <w:noWrap/>
            <w:vAlign w:val="center"/>
            <w:hideMark/>
          </w:tcPr>
          <w:p w:rsidR="00717463" w:rsidRPr="008C17FB" w:rsidRDefault="00717463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</w:rPr>
              <w:t>Наименование статьи затрат</w:t>
            </w:r>
          </w:p>
        </w:tc>
        <w:tc>
          <w:tcPr>
            <w:tcW w:w="992" w:type="dxa"/>
            <w:shd w:val="clear" w:color="000000" w:fill="C5D9F1"/>
            <w:noWrap/>
            <w:vAlign w:val="center"/>
            <w:hideMark/>
          </w:tcPr>
          <w:p w:rsidR="00717463" w:rsidRPr="008C17FB" w:rsidRDefault="00717463" w:rsidP="00CF5E9B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</w:rPr>
              <w:t>Ед.изм.</w:t>
            </w:r>
          </w:p>
        </w:tc>
        <w:tc>
          <w:tcPr>
            <w:tcW w:w="1134" w:type="dxa"/>
            <w:shd w:val="clear" w:color="000000" w:fill="C5D9F1"/>
            <w:noWrap/>
            <w:vAlign w:val="center"/>
            <w:hideMark/>
          </w:tcPr>
          <w:p w:rsidR="00717463" w:rsidRPr="008C17FB" w:rsidRDefault="00717463" w:rsidP="003D575C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</w:rPr>
              <w:t>2014</w:t>
            </w:r>
          </w:p>
        </w:tc>
        <w:tc>
          <w:tcPr>
            <w:tcW w:w="1134" w:type="dxa"/>
            <w:shd w:val="clear" w:color="000000" w:fill="C5D9F1"/>
            <w:noWrap/>
            <w:vAlign w:val="center"/>
            <w:hideMark/>
          </w:tcPr>
          <w:p w:rsidR="00717463" w:rsidRPr="008C17FB" w:rsidRDefault="00717463" w:rsidP="003D575C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</w:rPr>
              <w:t>2015</w:t>
            </w:r>
          </w:p>
        </w:tc>
        <w:tc>
          <w:tcPr>
            <w:tcW w:w="1134" w:type="dxa"/>
            <w:shd w:val="clear" w:color="000000" w:fill="C5D9F1"/>
            <w:vAlign w:val="center"/>
          </w:tcPr>
          <w:p w:rsidR="00717463" w:rsidRPr="008C17FB" w:rsidRDefault="00717463" w:rsidP="003D575C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</w:rPr>
              <w:t>2016</w:t>
            </w:r>
          </w:p>
        </w:tc>
        <w:tc>
          <w:tcPr>
            <w:tcW w:w="1134" w:type="dxa"/>
            <w:shd w:val="clear" w:color="000000" w:fill="C5D9F1"/>
            <w:vAlign w:val="center"/>
          </w:tcPr>
          <w:p w:rsidR="00717463" w:rsidRPr="008C17FB" w:rsidRDefault="00717463" w:rsidP="00717463">
            <w:pPr>
              <w:jc w:val="center"/>
              <w:rPr>
                <w:b/>
                <w:bCs/>
                <w:color w:val="000000" w:themeColor="text1"/>
              </w:rPr>
            </w:pPr>
            <w:r w:rsidRPr="008C17FB">
              <w:rPr>
                <w:b/>
                <w:bCs/>
                <w:color w:val="000000" w:themeColor="text1"/>
              </w:rPr>
              <w:t>2017</w:t>
            </w:r>
          </w:p>
        </w:tc>
      </w:tr>
      <w:tr w:rsidR="00717463" w:rsidRPr="008C17FB" w:rsidTr="008527E0">
        <w:trPr>
          <w:trHeight w:val="315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717463" w:rsidRPr="008C17FB" w:rsidRDefault="00717463" w:rsidP="005328D2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</w:rPr>
              <w:t>1.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717463" w:rsidRPr="008C17FB" w:rsidRDefault="00717463" w:rsidP="00CF5E9B">
            <w:pPr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</w:rPr>
              <w:t>Инвестиционные затраты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17463" w:rsidRPr="008C17FB" w:rsidRDefault="00717463" w:rsidP="00CF5E9B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17463" w:rsidRPr="008C17FB" w:rsidRDefault="005C009C" w:rsidP="00613233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</w:rPr>
              <w:t>17 505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17463" w:rsidRPr="008C17FB" w:rsidRDefault="00DD09E7" w:rsidP="00DD09E7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</w:rPr>
              <w:t>27 517</w:t>
            </w:r>
          </w:p>
        </w:tc>
        <w:tc>
          <w:tcPr>
            <w:tcW w:w="1134" w:type="dxa"/>
            <w:vAlign w:val="center"/>
          </w:tcPr>
          <w:p w:rsidR="00717463" w:rsidRPr="008C17FB" w:rsidRDefault="00DD09E7" w:rsidP="00775E4B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</w:rPr>
              <w:t>7</w:t>
            </w:r>
            <w:r w:rsidR="00775E4B">
              <w:rPr>
                <w:bCs/>
                <w:color w:val="000000" w:themeColor="text1"/>
              </w:rPr>
              <w:t>18 241</w:t>
            </w:r>
          </w:p>
        </w:tc>
        <w:tc>
          <w:tcPr>
            <w:tcW w:w="1134" w:type="dxa"/>
            <w:vAlign w:val="center"/>
          </w:tcPr>
          <w:p w:rsidR="00717463" w:rsidRPr="008C17FB" w:rsidRDefault="00FD6E33" w:rsidP="00775E4B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</w:rPr>
              <w:t>17</w:t>
            </w:r>
            <w:r w:rsidR="00775E4B">
              <w:rPr>
                <w:bCs/>
                <w:color w:val="000000" w:themeColor="text1"/>
              </w:rPr>
              <w:t>7 264</w:t>
            </w:r>
          </w:p>
        </w:tc>
      </w:tr>
      <w:tr w:rsidR="00717463" w:rsidRPr="008C17FB" w:rsidTr="008527E0">
        <w:trPr>
          <w:trHeight w:val="783"/>
        </w:trPr>
        <w:tc>
          <w:tcPr>
            <w:tcW w:w="932" w:type="dxa"/>
            <w:shd w:val="clear" w:color="auto" w:fill="auto"/>
            <w:noWrap/>
            <w:vAlign w:val="center"/>
            <w:hideMark/>
          </w:tcPr>
          <w:p w:rsidR="00717463" w:rsidRPr="008C17FB" w:rsidRDefault="00717463" w:rsidP="005328D2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2.</w:t>
            </w:r>
          </w:p>
        </w:tc>
        <w:tc>
          <w:tcPr>
            <w:tcW w:w="3774" w:type="dxa"/>
            <w:shd w:val="clear" w:color="auto" w:fill="auto"/>
            <w:vAlign w:val="center"/>
            <w:hideMark/>
          </w:tcPr>
          <w:p w:rsidR="00717463" w:rsidRPr="008C17FB" w:rsidRDefault="00717463" w:rsidP="00CF5E9B">
            <w:pPr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Справочно: стоимость оборудования, изготовленного с использованием инновационных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17463" w:rsidRPr="008C17FB" w:rsidRDefault="00717463" w:rsidP="00CF5E9B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17463" w:rsidRPr="008C17FB" w:rsidRDefault="00717463" w:rsidP="005328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17463" w:rsidRPr="008C17FB" w:rsidRDefault="00717463" w:rsidP="004773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17463" w:rsidRPr="008C17FB" w:rsidRDefault="00717463" w:rsidP="005328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17463" w:rsidRPr="008C17FB" w:rsidRDefault="00717463" w:rsidP="008527E0">
            <w:pPr>
              <w:jc w:val="center"/>
              <w:rPr>
                <w:color w:val="000000" w:themeColor="text1"/>
              </w:rPr>
            </w:pPr>
          </w:p>
        </w:tc>
      </w:tr>
      <w:tr w:rsidR="00717463" w:rsidRPr="008C17FB" w:rsidTr="008527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3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463" w:rsidRPr="008C17FB" w:rsidRDefault="00717463" w:rsidP="005328D2">
            <w:pPr>
              <w:jc w:val="center"/>
              <w:rPr>
                <w:bCs/>
                <w:color w:val="000000" w:themeColor="text1"/>
              </w:rPr>
            </w:pPr>
            <w:r w:rsidRPr="008C17FB">
              <w:rPr>
                <w:bCs/>
                <w:color w:val="000000" w:themeColor="text1"/>
              </w:rPr>
              <w:t>3</w:t>
            </w:r>
          </w:p>
        </w:tc>
        <w:tc>
          <w:tcPr>
            <w:tcW w:w="3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463" w:rsidRPr="008C17FB" w:rsidRDefault="00717463" w:rsidP="00913A3D">
            <w:pPr>
              <w:keepNext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Изменение стоимости основных средств в текущем году, возникающее в результате реализации ИП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463" w:rsidRPr="008C17FB" w:rsidRDefault="00717463" w:rsidP="00913A3D">
            <w:pPr>
              <w:keepNext/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463" w:rsidRPr="008C17FB" w:rsidRDefault="00717463" w:rsidP="00913A3D">
            <w:pPr>
              <w:keepNext/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463" w:rsidRPr="008C17FB" w:rsidRDefault="00717463" w:rsidP="004773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463" w:rsidRPr="008C17FB" w:rsidRDefault="00717463" w:rsidP="006D7C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463" w:rsidRPr="008C17FB" w:rsidRDefault="000138AA" w:rsidP="00775E4B">
            <w:pPr>
              <w:jc w:val="center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>9</w:t>
            </w:r>
            <w:r w:rsidR="004A50D2" w:rsidRPr="008C17FB">
              <w:rPr>
                <w:color w:val="000000" w:themeColor="text1"/>
              </w:rPr>
              <w:t xml:space="preserve">40 </w:t>
            </w:r>
            <w:r w:rsidR="00775E4B">
              <w:rPr>
                <w:color w:val="000000" w:themeColor="text1"/>
              </w:rPr>
              <w:t>528</w:t>
            </w:r>
          </w:p>
        </w:tc>
      </w:tr>
    </w:tbl>
    <w:p w:rsidR="0039035F" w:rsidRPr="008C17FB" w:rsidRDefault="0039035F">
      <w:pPr>
        <w:spacing w:after="200" w:line="276" w:lineRule="auto"/>
        <w:rPr>
          <w:b/>
          <w:bCs/>
          <w:color w:val="000000" w:themeColor="text1"/>
          <w:kern w:val="32"/>
          <w:sz w:val="28"/>
          <w:szCs w:val="28"/>
        </w:rPr>
      </w:pPr>
      <w:bookmarkStart w:id="10" w:name="_Toc231645036"/>
    </w:p>
    <w:p w:rsidR="00440E18" w:rsidRPr="008C17FB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309840743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реализации инвестиционного проекта</w:t>
      </w:r>
      <w:bookmarkEnd w:id="10"/>
      <w:bookmarkEnd w:id="11"/>
    </w:p>
    <w:p w:rsidR="0039035F" w:rsidRPr="008C17FB" w:rsidRDefault="0039035F" w:rsidP="0039035F">
      <w:pPr>
        <w:rPr>
          <w:color w:val="000000" w:themeColor="text1"/>
          <w:sz w:val="16"/>
          <w:szCs w:val="16"/>
        </w:rPr>
      </w:pPr>
    </w:p>
    <w:p w:rsidR="00B20AA5" w:rsidRPr="008C17FB" w:rsidRDefault="00B20AA5" w:rsidP="0039035F">
      <w:pPr>
        <w:rPr>
          <w:color w:val="000000" w:themeColor="text1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CF5E9B" w:rsidRPr="008C17FB" w:rsidTr="0039035F">
        <w:tc>
          <w:tcPr>
            <w:tcW w:w="2376" w:type="dxa"/>
          </w:tcPr>
          <w:p w:rsidR="0058593D" w:rsidRPr="008C17FB" w:rsidRDefault="00CF5E9B" w:rsidP="00E17230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Сроки выполнения проекта</w:t>
            </w:r>
          </w:p>
          <w:p w:rsidR="00E17230" w:rsidRPr="008C17FB" w:rsidRDefault="00E17230" w:rsidP="00E1723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2E24A6" w:rsidRPr="008C17FB" w:rsidRDefault="002E24A6" w:rsidP="002E24A6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Год</w:t>
            </w:r>
            <w:r w:rsidR="0067257C" w:rsidRPr="008C17FB">
              <w:rPr>
                <w:color w:val="000000" w:themeColor="text1"/>
                <w:sz w:val="24"/>
                <w:szCs w:val="24"/>
              </w:rPr>
              <w:t xml:space="preserve"> начала реализации проекта 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110D6B" w:rsidRPr="008C17FB">
              <w:rPr>
                <w:color w:val="000000" w:themeColor="text1"/>
                <w:sz w:val="24"/>
                <w:szCs w:val="24"/>
              </w:rPr>
              <w:t>201</w:t>
            </w:r>
            <w:r w:rsidR="003D575C" w:rsidRPr="008C17FB">
              <w:rPr>
                <w:color w:val="000000" w:themeColor="text1"/>
                <w:sz w:val="24"/>
                <w:szCs w:val="24"/>
              </w:rPr>
              <w:t>4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CF5E9B" w:rsidRPr="008C17FB" w:rsidRDefault="002E24A6" w:rsidP="0067701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Год окончания реализации проекта – 201</w:t>
            </w:r>
            <w:r w:rsidR="00677014" w:rsidRPr="008C17FB">
              <w:rPr>
                <w:color w:val="000000" w:themeColor="text1"/>
                <w:sz w:val="24"/>
                <w:szCs w:val="24"/>
              </w:rPr>
              <w:t>7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6C6441" w:rsidRPr="008C17FB" w:rsidRDefault="006C6441" w:rsidP="0067701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CF5E9B" w:rsidRPr="008C17FB" w:rsidTr="0039035F">
        <w:tc>
          <w:tcPr>
            <w:tcW w:w="2376" w:type="dxa"/>
          </w:tcPr>
          <w:p w:rsidR="00CF5E9B" w:rsidRPr="008C17FB" w:rsidRDefault="000C6664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График ввода-вывода объектов</w:t>
            </w:r>
          </w:p>
        </w:tc>
        <w:tc>
          <w:tcPr>
            <w:tcW w:w="7575" w:type="dxa"/>
          </w:tcPr>
          <w:p w:rsidR="00CF5E9B" w:rsidRPr="008C17FB" w:rsidRDefault="00B26143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Сроки ввода-вывода</w:t>
            </w:r>
            <w:r w:rsidR="002E24A6" w:rsidRPr="008C17FB">
              <w:rPr>
                <w:color w:val="000000" w:themeColor="text1"/>
                <w:sz w:val="24"/>
                <w:szCs w:val="24"/>
              </w:rPr>
              <w:t xml:space="preserve"> мощности представлены в таблице </w:t>
            </w:r>
            <w:r w:rsidR="0076615E" w:rsidRPr="008C17FB">
              <w:rPr>
                <w:color w:val="000000" w:themeColor="text1"/>
                <w:sz w:val="24"/>
                <w:szCs w:val="24"/>
              </w:rPr>
              <w:t>3</w:t>
            </w:r>
            <w:r w:rsidR="002E24A6" w:rsidRPr="008C17FB">
              <w:rPr>
                <w:color w:val="000000" w:themeColor="text1"/>
                <w:sz w:val="24"/>
                <w:szCs w:val="24"/>
              </w:rPr>
              <w:t>.</w:t>
            </w:r>
          </w:p>
          <w:p w:rsidR="002E24A6" w:rsidRPr="008C17FB" w:rsidRDefault="002E24A6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6C6441" w:rsidRPr="008C17FB" w:rsidRDefault="006C6441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2E24A6" w:rsidRPr="008C17FB" w:rsidRDefault="002E24A6" w:rsidP="002E24A6">
            <w:pPr>
              <w:pStyle w:val="af"/>
              <w:rPr>
                <w:b/>
                <w:color w:val="000000" w:themeColor="text1"/>
              </w:rPr>
            </w:pPr>
            <w:r w:rsidRPr="008C17FB">
              <w:rPr>
                <w:b/>
                <w:color w:val="000000" w:themeColor="text1"/>
              </w:rPr>
              <w:t xml:space="preserve">Таблица </w:t>
            </w:r>
            <w:r w:rsidR="0076615E" w:rsidRPr="008C17FB">
              <w:rPr>
                <w:b/>
                <w:color w:val="000000" w:themeColor="text1"/>
              </w:rPr>
              <w:t>3</w:t>
            </w:r>
            <w:r w:rsidRPr="008C17FB">
              <w:rPr>
                <w:b/>
                <w:color w:val="000000" w:themeColor="text1"/>
              </w:rPr>
              <w:t>. График ввода-вывода электросетевых объектов</w:t>
            </w:r>
          </w:p>
          <w:tbl>
            <w:tblPr>
              <w:tblStyle w:val="a9"/>
              <w:tblW w:w="6051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995"/>
              <w:gridCol w:w="929"/>
              <w:gridCol w:w="1066"/>
              <w:gridCol w:w="1061"/>
            </w:tblGrid>
            <w:tr w:rsidR="00645A93" w:rsidRPr="008C17FB" w:rsidTr="00056536">
              <w:trPr>
                <w:trHeight w:val="20"/>
              </w:trPr>
              <w:tc>
                <w:tcPr>
                  <w:tcW w:w="2995" w:type="dxa"/>
                  <w:shd w:val="clear" w:color="auto" w:fill="C6D9F1" w:themeFill="text2" w:themeFillTint="33"/>
                  <w:vAlign w:val="center"/>
                </w:tcPr>
                <w:p w:rsidR="00645A93" w:rsidRPr="008C17FB" w:rsidRDefault="00645A93" w:rsidP="008B7A6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8C17FB">
                    <w:rPr>
                      <w:b/>
                      <w:bCs/>
                      <w:color w:val="000000" w:themeColor="text1"/>
                    </w:rPr>
                    <w:t>Наименование показателя</w:t>
                  </w:r>
                </w:p>
              </w:tc>
              <w:tc>
                <w:tcPr>
                  <w:tcW w:w="929" w:type="dxa"/>
                  <w:shd w:val="clear" w:color="auto" w:fill="C6D9F1" w:themeFill="text2" w:themeFillTint="33"/>
                  <w:vAlign w:val="center"/>
                </w:tcPr>
                <w:p w:rsidR="00645A93" w:rsidRPr="008C17FB" w:rsidRDefault="00645A93" w:rsidP="008B7A6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8C17FB">
                    <w:rPr>
                      <w:b/>
                      <w:bCs/>
                      <w:color w:val="000000" w:themeColor="text1"/>
                    </w:rPr>
                    <w:t>Ед.изм.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645A93" w:rsidRPr="008C17FB" w:rsidRDefault="00645A93" w:rsidP="008B7A6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8C17FB">
                    <w:rPr>
                      <w:b/>
                      <w:bCs/>
                      <w:color w:val="000000" w:themeColor="text1"/>
                    </w:rPr>
                    <w:t>2017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645A93" w:rsidRPr="008C17FB" w:rsidRDefault="00645A93" w:rsidP="008B7A6C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8C17FB">
                    <w:rPr>
                      <w:b/>
                      <w:bCs/>
                      <w:color w:val="000000" w:themeColor="text1"/>
                    </w:rPr>
                    <w:t>2017</w:t>
                  </w:r>
                </w:p>
              </w:tc>
            </w:tr>
            <w:tr w:rsidR="00645A93" w:rsidRPr="008C17FB" w:rsidTr="00056536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645A93" w:rsidRPr="008C17FB" w:rsidRDefault="00645A93" w:rsidP="008B7A6C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Ввод новой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645A93" w:rsidRPr="008C17FB" w:rsidRDefault="00645A93" w:rsidP="008B7A6C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066" w:type="dxa"/>
                  <w:shd w:val="clear" w:color="auto" w:fill="FFFFFF" w:themeFill="background1"/>
                </w:tcPr>
                <w:p w:rsidR="00645A93" w:rsidRPr="008C17FB" w:rsidRDefault="00056536" w:rsidP="00056536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1,655</w:t>
                  </w:r>
                  <w:r w:rsidR="00645A93" w:rsidRPr="008C17FB">
                    <w:rPr>
                      <w:color w:val="000000" w:themeColor="text1"/>
                    </w:rPr>
                    <w:t xml:space="preserve"> км</w:t>
                  </w:r>
                </w:p>
              </w:tc>
              <w:tc>
                <w:tcPr>
                  <w:tcW w:w="1061" w:type="dxa"/>
                  <w:shd w:val="clear" w:color="auto" w:fill="FFFFFF" w:themeFill="background1"/>
                </w:tcPr>
                <w:p w:rsidR="00645A93" w:rsidRPr="008C17FB" w:rsidRDefault="00645A93" w:rsidP="008B7A6C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2х25 МВА</w:t>
                  </w:r>
                </w:p>
              </w:tc>
            </w:tr>
            <w:tr w:rsidR="00645A93" w:rsidRPr="008C17FB" w:rsidTr="00056536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645A93" w:rsidRPr="008C17FB" w:rsidRDefault="00645A93" w:rsidP="008B7A6C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Вывод старой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645A93" w:rsidRPr="008C17FB" w:rsidRDefault="00645A93" w:rsidP="008B7A6C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066" w:type="dxa"/>
                  <w:shd w:val="clear" w:color="auto" w:fill="FFFFFF" w:themeFill="background1"/>
                </w:tcPr>
                <w:p w:rsidR="00645A93" w:rsidRPr="008C17FB" w:rsidRDefault="00645A93" w:rsidP="008B7A6C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0 км</w:t>
                  </w:r>
                </w:p>
              </w:tc>
              <w:tc>
                <w:tcPr>
                  <w:tcW w:w="1061" w:type="dxa"/>
                  <w:shd w:val="clear" w:color="auto" w:fill="FFFFFF" w:themeFill="background1"/>
                </w:tcPr>
                <w:p w:rsidR="00645A93" w:rsidRPr="008C17FB" w:rsidRDefault="00645A93" w:rsidP="008B7A6C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0 МВА</w:t>
                  </w:r>
                </w:p>
              </w:tc>
            </w:tr>
            <w:tr w:rsidR="00645A93" w:rsidRPr="008C17FB" w:rsidTr="00056536">
              <w:trPr>
                <w:trHeight w:val="20"/>
              </w:trPr>
              <w:tc>
                <w:tcPr>
                  <w:tcW w:w="2995" w:type="dxa"/>
                  <w:vAlign w:val="center"/>
                </w:tcPr>
                <w:p w:rsidR="00645A93" w:rsidRPr="008C17FB" w:rsidRDefault="00645A93" w:rsidP="008B7A6C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Прирост (+)/снижение (-) мощности</w:t>
                  </w:r>
                </w:p>
              </w:tc>
              <w:tc>
                <w:tcPr>
                  <w:tcW w:w="929" w:type="dxa"/>
                  <w:vAlign w:val="center"/>
                </w:tcPr>
                <w:p w:rsidR="00645A93" w:rsidRPr="008C17FB" w:rsidRDefault="00645A93" w:rsidP="008B7A6C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МВА/км</w:t>
                  </w:r>
                </w:p>
              </w:tc>
              <w:tc>
                <w:tcPr>
                  <w:tcW w:w="1066" w:type="dxa"/>
                  <w:shd w:val="clear" w:color="auto" w:fill="FFFFFF" w:themeFill="background1"/>
                </w:tcPr>
                <w:p w:rsidR="00645A93" w:rsidRPr="008C17FB" w:rsidRDefault="00056536" w:rsidP="008B7A6C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1,655 км</w:t>
                  </w:r>
                </w:p>
              </w:tc>
              <w:tc>
                <w:tcPr>
                  <w:tcW w:w="1061" w:type="dxa"/>
                  <w:shd w:val="clear" w:color="auto" w:fill="FFFFFF" w:themeFill="background1"/>
                </w:tcPr>
                <w:p w:rsidR="00645A93" w:rsidRPr="008C17FB" w:rsidRDefault="00645A93" w:rsidP="008B7A6C">
                  <w:pPr>
                    <w:jc w:val="center"/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</w:rPr>
                    <w:t>2х25 МВА</w:t>
                  </w:r>
                </w:p>
              </w:tc>
            </w:tr>
          </w:tbl>
          <w:p w:rsidR="00B20AA5" w:rsidRPr="008C17FB" w:rsidRDefault="00B20AA5" w:rsidP="000C666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0C6664" w:rsidRPr="008C17FB" w:rsidTr="0039035F">
        <w:tc>
          <w:tcPr>
            <w:tcW w:w="2376" w:type="dxa"/>
          </w:tcPr>
          <w:p w:rsidR="006C6441" w:rsidRPr="008C17FB" w:rsidRDefault="006C6441" w:rsidP="00CF5E9B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0C6664" w:rsidRPr="008C17FB" w:rsidRDefault="00773A2B" w:rsidP="00CF5E9B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Укрупненный график реализации проекта</w:t>
            </w:r>
          </w:p>
        </w:tc>
        <w:tc>
          <w:tcPr>
            <w:tcW w:w="7575" w:type="dxa"/>
          </w:tcPr>
          <w:p w:rsidR="006C6441" w:rsidRPr="008C17FB" w:rsidRDefault="006C6441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  <w:p w:rsidR="0039035F" w:rsidRPr="008C17FB" w:rsidRDefault="00AF64FF" w:rsidP="0076615E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Укрупненный план-график реализации проекта </w:t>
            </w:r>
            <w:r w:rsidR="00FB504D" w:rsidRPr="008C17FB">
              <w:rPr>
                <w:color w:val="000000" w:themeColor="text1"/>
                <w:sz w:val="24"/>
                <w:szCs w:val="24"/>
              </w:rPr>
              <w:t>представлен</w:t>
            </w:r>
            <w:r w:rsidR="009D6917" w:rsidRPr="008C17FB">
              <w:rPr>
                <w:color w:val="000000" w:themeColor="text1"/>
                <w:sz w:val="24"/>
                <w:szCs w:val="24"/>
              </w:rPr>
              <w:t xml:space="preserve"> в таблице </w:t>
            </w:r>
            <w:r w:rsidR="0076615E" w:rsidRPr="008C17FB">
              <w:rPr>
                <w:color w:val="000000" w:themeColor="text1"/>
                <w:sz w:val="24"/>
                <w:szCs w:val="24"/>
              </w:rPr>
              <w:t>4</w:t>
            </w:r>
            <w:r w:rsidR="009D6917" w:rsidRPr="008C17FB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D6917" w:rsidRPr="008C17FB" w:rsidRDefault="009D6917" w:rsidP="009D6917">
      <w:pPr>
        <w:pStyle w:val="af"/>
        <w:rPr>
          <w:b/>
          <w:color w:val="000000" w:themeColor="text1"/>
        </w:rPr>
      </w:pPr>
    </w:p>
    <w:p w:rsidR="00264C1E" w:rsidRDefault="00264C1E" w:rsidP="009D6917">
      <w:pPr>
        <w:pStyle w:val="af"/>
        <w:rPr>
          <w:b/>
          <w:color w:val="000000" w:themeColor="text1"/>
        </w:rPr>
      </w:pPr>
      <w:r w:rsidRPr="008C17FB">
        <w:rPr>
          <w:b/>
          <w:color w:val="000000" w:themeColor="text1"/>
        </w:rPr>
        <w:t xml:space="preserve">Таблица </w:t>
      </w:r>
      <w:r w:rsidR="0076615E" w:rsidRPr="008C17FB">
        <w:rPr>
          <w:b/>
          <w:color w:val="000000" w:themeColor="text1"/>
        </w:rPr>
        <w:t>4</w:t>
      </w:r>
      <w:r w:rsidR="009D6917" w:rsidRPr="008C17FB">
        <w:rPr>
          <w:b/>
          <w:color w:val="000000" w:themeColor="text1"/>
        </w:rPr>
        <w:t>.</w:t>
      </w:r>
      <w:r w:rsidRPr="008C17FB">
        <w:rPr>
          <w:b/>
          <w:color w:val="000000" w:themeColor="text1"/>
        </w:rPr>
        <w:t xml:space="preserve"> План-график реализации инвестиционного проекта</w:t>
      </w:r>
      <w:r w:rsidR="00AC5884" w:rsidRPr="008C17FB">
        <w:rPr>
          <w:b/>
          <w:color w:val="000000" w:themeColor="text1"/>
        </w:rPr>
        <w:t xml:space="preserve">    </w:t>
      </w:r>
    </w:p>
    <w:p w:rsidR="003A4B34" w:rsidRDefault="003A4B34" w:rsidP="003A4B34"/>
    <w:tbl>
      <w:tblPr>
        <w:tblW w:w="10200" w:type="dxa"/>
        <w:tblInd w:w="118" w:type="dxa"/>
        <w:tblLook w:val="04A0" w:firstRow="1" w:lastRow="0" w:firstColumn="1" w:lastColumn="0" w:noHBand="0" w:noVBand="1"/>
      </w:tblPr>
      <w:tblGrid>
        <w:gridCol w:w="479"/>
        <w:gridCol w:w="5665"/>
        <w:gridCol w:w="1180"/>
        <w:gridCol w:w="1371"/>
        <w:gridCol w:w="1505"/>
      </w:tblGrid>
      <w:tr w:rsidR="003A4B34" w:rsidRPr="003A4B34" w:rsidTr="003A4B34">
        <w:trPr>
          <w:trHeight w:val="300"/>
        </w:trPr>
        <w:tc>
          <w:tcPr>
            <w:tcW w:w="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A4B34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9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b/>
                <w:bCs/>
                <w:color w:val="000000"/>
              </w:rPr>
            </w:pPr>
            <w:r w:rsidRPr="003A4B34">
              <w:rPr>
                <w:b/>
                <w:bCs/>
                <w:color w:val="000000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3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b/>
                <w:bCs/>
                <w:color w:val="000000"/>
              </w:rPr>
            </w:pPr>
            <w:r w:rsidRPr="003A4B34">
              <w:rPr>
                <w:b/>
                <w:bCs/>
                <w:color w:val="000000"/>
              </w:rPr>
              <w:t>Выполнение (план)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b/>
                <w:bCs/>
                <w:color w:val="000000"/>
              </w:rPr>
            </w:pPr>
            <w:r w:rsidRPr="003A4B34">
              <w:rPr>
                <w:b/>
                <w:bCs/>
                <w:color w:val="000000"/>
              </w:rPr>
              <w:t>Процент исполнения  работ за весь период (%)</w:t>
            </w:r>
          </w:p>
        </w:tc>
      </w:tr>
      <w:tr w:rsidR="003A4B34" w:rsidRPr="003A4B34" w:rsidTr="003A4B34">
        <w:trPr>
          <w:trHeight w:val="300"/>
        </w:trPr>
        <w:tc>
          <w:tcPr>
            <w:tcW w:w="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</w:rPr>
            </w:pPr>
          </w:p>
        </w:tc>
        <w:tc>
          <w:tcPr>
            <w:tcW w:w="236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</w:rPr>
            </w:pPr>
          </w:p>
        </w:tc>
      </w:tr>
      <w:tr w:rsidR="003A4B34" w:rsidRPr="003A4B34" w:rsidTr="003A4B34">
        <w:trPr>
          <w:trHeight w:val="948"/>
        </w:trPr>
        <w:tc>
          <w:tcPr>
            <w:tcW w:w="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4B34" w:rsidRPr="003A4B34" w:rsidRDefault="003A4B34" w:rsidP="003A4B34">
            <w:pPr>
              <w:jc w:val="center"/>
              <w:rPr>
                <w:b/>
                <w:bCs/>
                <w:color w:val="000000"/>
              </w:rPr>
            </w:pPr>
            <w:r w:rsidRPr="003A4B34">
              <w:rPr>
                <w:b/>
                <w:bCs/>
                <w:color w:val="000000"/>
              </w:rPr>
              <w:t>начало (дата)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4B34" w:rsidRPr="003A4B34" w:rsidRDefault="003A4B34" w:rsidP="003A4B34">
            <w:pPr>
              <w:jc w:val="center"/>
              <w:rPr>
                <w:b/>
                <w:bCs/>
                <w:color w:val="000000"/>
              </w:rPr>
            </w:pPr>
            <w:r w:rsidRPr="003A4B34">
              <w:rPr>
                <w:b/>
                <w:bCs/>
                <w:color w:val="000000"/>
              </w:rPr>
              <w:t>окончание (дата)</w:t>
            </w: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</w:rPr>
            </w:pPr>
          </w:p>
        </w:tc>
      </w:tr>
      <w:tr w:rsidR="003A4B34" w:rsidRPr="003A4B34" w:rsidTr="003A4B34">
        <w:trPr>
          <w:trHeight w:val="324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</w:rPr>
            </w:pPr>
            <w:r w:rsidRPr="003A4B34">
              <w:rPr>
                <w:color w:val="000000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</w:rPr>
            </w:pPr>
            <w:r w:rsidRPr="003A4B34">
              <w:rPr>
                <w:color w:val="000000"/>
              </w:rPr>
              <w:t>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</w:rPr>
            </w:pPr>
            <w:r w:rsidRPr="003A4B34">
              <w:rPr>
                <w:color w:val="000000"/>
              </w:rPr>
              <w:t>3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</w:rPr>
            </w:pPr>
            <w:r w:rsidRPr="003A4B34">
              <w:rPr>
                <w:color w:val="000000"/>
              </w:rPr>
              <w:t>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</w:rPr>
            </w:pPr>
            <w:r w:rsidRPr="003A4B34">
              <w:rPr>
                <w:color w:val="000000"/>
              </w:rPr>
              <w:t>5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A4B34">
              <w:rPr>
                <w:b/>
                <w:bCs/>
                <w:color w:val="000000"/>
                <w:sz w:val="20"/>
                <w:szCs w:val="20"/>
              </w:rPr>
              <w:t>Предпроектный и проектный этап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Получение заявки на ТП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Разработка и выдача ТУ на ТП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Заключение договора на разработку проетной документации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01.03.2014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31.03.2014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100.0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01.12.2014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28.02.2015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100.0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Утверждение проектной документации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01.03.2015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31.03.2015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100.0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Разработка рабочей документации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15.04.2015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30.12.2015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100.0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A4B34">
              <w:rPr>
                <w:b/>
                <w:bCs/>
                <w:color w:val="000000"/>
                <w:sz w:val="20"/>
                <w:szCs w:val="20"/>
              </w:rPr>
              <w:t>Организационный этап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Заключение договора  подряда (допсоглашения к договору)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01.06.2015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31.07.2015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100.0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01.01.2014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01.12.2015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100.0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Получение разрешительной документации для реализации СВМ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A4B34">
              <w:rPr>
                <w:b/>
                <w:bCs/>
                <w:color w:val="000000"/>
                <w:sz w:val="20"/>
                <w:szCs w:val="20"/>
              </w:rPr>
              <w:t>Сетевое строительство (реконструкция) и пусконаладочные работы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Подготовка площадки строительства для подстанций, трассы – для ЛЭП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01.07.2015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01.08.2015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100.0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Поставка основного оборудования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15.01.2016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01.07.2016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Монтаж основного оборудования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01.01.2016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01.04.2017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Пусконаладочные работы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01.04.2017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01.06.2017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Завершение строительства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01.06.2017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A4B34">
              <w:rPr>
                <w:b/>
                <w:bCs/>
                <w:color w:val="000000"/>
                <w:sz w:val="20"/>
                <w:szCs w:val="20"/>
              </w:rPr>
              <w:t>Испытания и ввод в эксплуатацию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 xml:space="preserve">Комплексное опробование оборудования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01.06.2017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5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30.06.2017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28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 xml:space="preserve">Получение разрешения на ввод объекта в эксплуатацию.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30.06.2017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4B34" w:rsidRPr="003A4B34" w:rsidTr="003A4B34">
        <w:trPr>
          <w:trHeight w:val="3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Ввод в эксплуатацию объекта сетевого строительства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01.05.2017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30.06.2017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34" w:rsidRPr="003A4B34" w:rsidRDefault="003A4B34" w:rsidP="003A4B34">
            <w:pPr>
              <w:jc w:val="center"/>
              <w:rPr>
                <w:color w:val="000000"/>
                <w:sz w:val="20"/>
                <w:szCs w:val="20"/>
              </w:rPr>
            </w:pPr>
            <w:r w:rsidRPr="003A4B3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C80F73" w:rsidRPr="008C17FB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  <w:bookmarkStart w:id="12" w:name="_Toc231645037"/>
    </w:p>
    <w:p w:rsidR="00C80F73" w:rsidRPr="008C17FB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8C17FB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C80F73" w:rsidRPr="008C17FB" w:rsidRDefault="00C80F73" w:rsidP="004A6AF0">
      <w:pPr>
        <w:rPr>
          <w:b/>
          <w:bCs/>
          <w:color w:val="000000" w:themeColor="text1"/>
          <w:kern w:val="32"/>
          <w:sz w:val="2"/>
          <w:szCs w:val="2"/>
        </w:rPr>
      </w:pPr>
    </w:p>
    <w:p w:rsidR="000A784D" w:rsidRPr="008C17FB" w:rsidRDefault="000A784D" w:rsidP="00AF0E9F">
      <w:pPr>
        <w:rPr>
          <w:color w:val="000000" w:themeColor="text1"/>
        </w:rPr>
      </w:pPr>
      <w:bookmarkStart w:id="13" w:name="_Toc309840744"/>
    </w:p>
    <w:p w:rsidR="00440E18" w:rsidRPr="008C17FB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Маркетинговая информация</w:t>
      </w:r>
      <w:bookmarkEnd w:id="12"/>
      <w:bookmarkEnd w:id="13"/>
    </w:p>
    <w:p w:rsidR="0039035F" w:rsidRPr="008C17FB" w:rsidRDefault="0039035F" w:rsidP="0039035F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3"/>
        <w:gridCol w:w="8214"/>
      </w:tblGrid>
      <w:tr w:rsidR="00636BE7" w:rsidRPr="008C17FB" w:rsidTr="0039035F">
        <w:tc>
          <w:tcPr>
            <w:tcW w:w="2376" w:type="dxa"/>
          </w:tcPr>
          <w:p w:rsidR="00636BE7" w:rsidRPr="008C17FB" w:rsidRDefault="004F4697" w:rsidP="0039035F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Анализ существующего рынка сбыта в зоне реализации проекта</w:t>
            </w:r>
          </w:p>
        </w:tc>
        <w:tc>
          <w:tcPr>
            <w:tcW w:w="7575" w:type="dxa"/>
          </w:tcPr>
          <w:p w:rsidR="00645A93" w:rsidRPr="008C17FB" w:rsidRDefault="00645A93" w:rsidP="00645A9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Мощность устанавливаемых силовых трансформаторов на ПС Береговая: Т1 – 25 МВА; Т2 – 25 МВА.</w:t>
            </w:r>
          </w:p>
          <w:p w:rsidR="00645A93" w:rsidRPr="008C17FB" w:rsidRDefault="00645A93" w:rsidP="00645A93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Максимально допустимая нагрузка ПС Береговая в режиме N-1 и с учетом резерва по электросетям 6-15 кВ устанавливаемых трансформаторов мощностью  25 МВА рассчитывается:</w:t>
            </w:r>
          </w:p>
          <w:p w:rsidR="00645A93" w:rsidRPr="008C17FB" w:rsidRDefault="00D926E0" w:rsidP="00645A9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8C17FB">
              <w:rPr>
                <w:color w:val="000000" w:themeColor="text1"/>
                <w:position w:val="-12"/>
                <w:sz w:val="24"/>
                <w:szCs w:val="24"/>
              </w:rPr>
              <w:object w:dxaOrig="72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9.4pt;height:18.6pt" o:ole="">
                  <v:imagedata r:id="rId8" o:title=""/>
                </v:shape>
                <o:OLEObject Type="Embed" ProgID="Equation.3" ShapeID="_x0000_i1025" DrawAspect="Content" ObjectID="_1520773012" r:id="rId9"/>
              </w:object>
            </w:r>
          </w:p>
          <w:p w:rsidR="00B104E6" w:rsidRPr="008C17FB" w:rsidRDefault="00B104E6" w:rsidP="00B104E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0,93 – cos </w:t>
            </w:r>
            <w:r w:rsidRPr="008C17FB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согласно Приказа от 22/02/2007 г. №49 «О порядке расчета значений соотношения потребления активной и реактивной мощности для отдельных энергопринимающих устройств (групп энергопринимающих устройств) потребителей электрической энергии, применяемых для определения обязательств сторон в договорах об оказании услуг по передаче электрической энергии»; перевод 1 кВА в 1 кВт производится по формуле:</w:t>
            </w:r>
          </w:p>
          <w:p w:rsidR="00581D33" w:rsidRPr="008C17FB" w:rsidRDefault="00B104E6" w:rsidP="00B104E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кВА*cos </w:t>
            </w:r>
            <w:r w:rsidRPr="008C17FB">
              <w:rPr>
                <w:color w:val="000000" w:themeColor="text1"/>
                <w:sz w:val="24"/>
                <w:szCs w:val="24"/>
              </w:rPr>
              <w:sym w:font="Symbol" w:char="006A"/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= кВт.</w:t>
            </w:r>
          </w:p>
          <w:p w:rsidR="00D02C17" w:rsidRPr="008C17FB" w:rsidRDefault="003D462F" w:rsidP="00B104E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У</w:t>
            </w:r>
            <w:r w:rsidR="0051396D" w:rsidRPr="008C17FB">
              <w:rPr>
                <w:color w:val="000000" w:themeColor="text1"/>
                <w:sz w:val="24"/>
                <w:szCs w:val="24"/>
              </w:rPr>
              <w:t xml:space="preserve">величение полезного отпуска электроэнергии </w:t>
            </w:r>
            <w:r w:rsidRPr="008C17FB">
              <w:rPr>
                <w:color w:val="000000" w:themeColor="text1"/>
                <w:sz w:val="24"/>
                <w:szCs w:val="24"/>
              </w:rPr>
              <w:t>предполагается от подключения нагрузки по действующим договорам технологического присоединения и поданным заявкам, увеличения потребляемой мощности существующих потребителей и от перспективного присоединения потребителей в связи с прогнозируемым спросом.</w:t>
            </w:r>
            <w:r w:rsidR="008E455F" w:rsidRPr="008C17FB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506905" w:rsidRPr="008C17FB" w:rsidRDefault="00506905" w:rsidP="00506905">
            <w:pPr>
              <w:tabs>
                <w:tab w:val="left" w:pos="851"/>
              </w:tabs>
              <w:spacing w:line="276" w:lineRule="auto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17FB">
              <w:rPr>
                <w:color w:val="595959" w:themeColor="text1" w:themeTint="A6"/>
                <w:sz w:val="24"/>
                <w:szCs w:val="24"/>
              </w:rPr>
              <w:t>Характер нагрузки – коммунально-общественные здания.</w:t>
            </w:r>
          </w:p>
          <w:p w:rsidR="00D04119" w:rsidRPr="008C17FB" w:rsidRDefault="00D04119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DF2F6E" w:rsidRPr="008C17FB" w:rsidRDefault="00DF2F6E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8C17FB">
              <w:rPr>
                <w:color w:val="000000" w:themeColor="text1"/>
                <w:sz w:val="26"/>
                <w:szCs w:val="26"/>
              </w:rPr>
              <w:t>План загрузки подстанции:</w:t>
            </w:r>
          </w:p>
          <w:tbl>
            <w:tblPr>
              <w:tblW w:w="7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736"/>
              <w:gridCol w:w="931"/>
              <w:gridCol w:w="931"/>
              <w:gridCol w:w="931"/>
              <w:gridCol w:w="931"/>
              <w:gridCol w:w="931"/>
              <w:gridCol w:w="931"/>
            </w:tblGrid>
            <w:tr w:rsidR="00D926E0" w:rsidRPr="008C17FB" w:rsidTr="00D926E0">
              <w:trPr>
                <w:trHeight w:val="261"/>
              </w:trPr>
              <w:tc>
                <w:tcPr>
                  <w:tcW w:w="1238" w:type="dxa"/>
                  <w:shd w:val="clear" w:color="auto" w:fill="auto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736" w:type="dxa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2017</w:t>
                  </w:r>
                </w:p>
              </w:tc>
              <w:tc>
                <w:tcPr>
                  <w:tcW w:w="931" w:type="dxa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2018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931" w:type="dxa"/>
                </w:tcPr>
                <w:p w:rsidR="00D926E0" w:rsidRPr="008C17FB" w:rsidRDefault="00D926E0" w:rsidP="00D926E0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2023</w:t>
                  </w:r>
                </w:p>
              </w:tc>
            </w:tr>
            <w:tr w:rsidR="00D926E0" w:rsidRPr="008C17FB" w:rsidTr="00D926E0">
              <w:trPr>
                <w:trHeight w:val="545"/>
              </w:trPr>
              <w:tc>
                <w:tcPr>
                  <w:tcW w:w="1238" w:type="dxa"/>
                  <w:shd w:val="clear" w:color="auto" w:fill="auto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736" w:type="dxa"/>
                </w:tcPr>
                <w:p w:rsidR="00D926E0" w:rsidRPr="008C17FB" w:rsidRDefault="00D926E0" w:rsidP="006D1297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31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15.831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17.381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18.931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19.981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21.031</w:t>
                  </w:r>
                </w:p>
              </w:tc>
              <w:tc>
                <w:tcPr>
                  <w:tcW w:w="931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22.081</w:t>
                  </w:r>
                </w:p>
              </w:tc>
            </w:tr>
          </w:tbl>
          <w:p w:rsidR="00FB1AF8" w:rsidRPr="008C17FB" w:rsidRDefault="00FB1AF8" w:rsidP="00DF2F6E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tbl>
            <w:tblPr>
              <w:tblW w:w="8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875"/>
              <w:gridCol w:w="875"/>
              <w:gridCol w:w="875"/>
              <w:gridCol w:w="875"/>
              <w:gridCol w:w="875"/>
              <w:gridCol w:w="875"/>
              <w:gridCol w:w="875"/>
              <w:gridCol w:w="875"/>
            </w:tblGrid>
            <w:tr w:rsidR="00D926E0" w:rsidRPr="008C17FB" w:rsidTr="00D926E0">
              <w:trPr>
                <w:trHeight w:val="261"/>
              </w:trPr>
              <w:tc>
                <w:tcPr>
                  <w:tcW w:w="1171" w:type="dxa"/>
                  <w:shd w:val="clear" w:color="auto" w:fill="auto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lastRenderedPageBreak/>
                    <w:t>Год</w:t>
                  </w:r>
                </w:p>
              </w:tc>
              <w:tc>
                <w:tcPr>
                  <w:tcW w:w="884" w:type="dxa"/>
                </w:tcPr>
                <w:p w:rsidR="00D926E0" w:rsidRPr="008C17FB" w:rsidRDefault="00D926E0" w:rsidP="00FD6E33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884" w:type="dxa"/>
                </w:tcPr>
                <w:p w:rsidR="00D926E0" w:rsidRPr="008C17FB" w:rsidRDefault="00D926E0" w:rsidP="00FD6E33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884" w:type="dxa"/>
                </w:tcPr>
                <w:p w:rsidR="00D926E0" w:rsidRPr="008C17FB" w:rsidRDefault="00D926E0" w:rsidP="00FD6E33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 w:rsidP="00FD6E33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2027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 w:rsidP="00FD6E33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2028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 w:rsidP="00D926E0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2029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 w:rsidP="00FD6E33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2030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 w:rsidP="00D926E0">
                  <w:pPr>
                    <w:rPr>
                      <w:color w:val="000000" w:themeColor="text1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2031</w:t>
                  </w:r>
                </w:p>
              </w:tc>
            </w:tr>
            <w:tr w:rsidR="00D926E0" w:rsidRPr="008C17FB" w:rsidTr="00D926E0">
              <w:trPr>
                <w:trHeight w:val="545"/>
              </w:trPr>
              <w:tc>
                <w:tcPr>
                  <w:tcW w:w="1171" w:type="dxa"/>
                  <w:shd w:val="clear" w:color="auto" w:fill="auto"/>
                </w:tcPr>
                <w:p w:rsidR="00D926E0" w:rsidRPr="008C17FB" w:rsidRDefault="00D926E0" w:rsidP="006D1297">
                  <w:pPr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 w:rsidRPr="008C17FB">
                    <w:rPr>
                      <w:color w:val="000000" w:themeColor="text1"/>
                      <w:sz w:val="26"/>
                      <w:szCs w:val="26"/>
                    </w:rPr>
                    <w:t>Загрузка, МВт</w:t>
                  </w:r>
                </w:p>
              </w:tc>
              <w:tc>
                <w:tcPr>
                  <w:tcW w:w="884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23.131</w:t>
                  </w:r>
                </w:p>
              </w:tc>
              <w:tc>
                <w:tcPr>
                  <w:tcW w:w="884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23.681</w:t>
                  </w:r>
                </w:p>
              </w:tc>
              <w:tc>
                <w:tcPr>
                  <w:tcW w:w="884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24.163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24.213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24.263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24.313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24.363</w:t>
                  </w:r>
                </w:p>
              </w:tc>
              <w:tc>
                <w:tcPr>
                  <w:tcW w:w="883" w:type="dxa"/>
                </w:tcPr>
                <w:p w:rsidR="00D926E0" w:rsidRPr="008C17FB" w:rsidRDefault="00D926E0">
                  <w:pPr>
                    <w:jc w:val="center"/>
                    <w:rPr>
                      <w:sz w:val="20"/>
                      <w:szCs w:val="20"/>
                    </w:rPr>
                  </w:pPr>
                  <w:r w:rsidRPr="008C17FB">
                    <w:rPr>
                      <w:sz w:val="20"/>
                      <w:szCs w:val="20"/>
                    </w:rPr>
                    <w:t>24.413</w:t>
                  </w:r>
                </w:p>
              </w:tc>
            </w:tr>
          </w:tbl>
          <w:p w:rsidR="0039035F" w:rsidRPr="008C17FB" w:rsidRDefault="0039035F" w:rsidP="00807F0B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636BE7" w:rsidRPr="008C17FB" w:rsidTr="0039035F">
        <w:tc>
          <w:tcPr>
            <w:tcW w:w="2376" w:type="dxa"/>
          </w:tcPr>
          <w:p w:rsidR="00636BE7" w:rsidRPr="008C17FB" w:rsidRDefault="00802E49" w:rsidP="00802E49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lastRenderedPageBreak/>
              <w:t>Прогноз рынка сбыта</w:t>
            </w:r>
            <w:r w:rsidR="00F870B2" w:rsidRPr="008C17FB">
              <w:rPr>
                <w:b/>
                <w:color w:val="000000" w:themeColor="text1"/>
                <w:sz w:val="24"/>
                <w:szCs w:val="24"/>
              </w:rPr>
              <w:t xml:space="preserve"> в зоне реализации проекта</w:t>
            </w:r>
          </w:p>
        </w:tc>
        <w:tc>
          <w:tcPr>
            <w:tcW w:w="7575" w:type="dxa"/>
          </w:tcPr>
          <w:p w:rsidR="009B5C98" w:rsidRPr="008C17FB" w:rsidRDefault="00596861" w:rsidP="00DE1660">
            <w:pPr>
              <w:pStyle w:val="aff1"/>
              <w:suppressAutoHyphens/>
              <w:ind w:firstLine="709"/>
              <w:rPr>
                <w:color w:val="000000" w:themeColor="text1"/>
              </w:rPr>
            </w:pPr>
            <w:r w:rsidRPr="008C17FB">
              <w:rPr>
                <w:color w:val="000000" w:themeColor="text1"/>
              </w:rPr>
              <w:t xml:space="preserve">Инвестиционный проект выполняется в целях обеспечить техническую возможность присоединения к электрическим сетям энергопринимающих устройств главного объекта Чемпионата мира ФИФА в г. Калининграде - многофункционального стадиона. А также в целях реализовать основную концепцию проекта планировки территории окружения стадиона – создание комфортной, дружелюбной городской среды, обеспечивающей  функциональные, организационные и представительские потребности международного соревнования, и формирование нового многофункционального района Калининграда из новых жилых кварталов, деловых и обслуживающих центров, объектов туризма, рекреации, физкультуры и спорта, обладающего  высоким  потенциалом  для перспективного  развития  города. </w:t>
            </w:r>
            <w:r w:rsidR="00DE1660" w:rsidRPr="008C17FB">
              <w:rPr>
                <w:color w:val="000000" w:themeColor="text1"/>
              </w:rPr>
              <w:t>Заявленная мощность на подключение многофункционального стадиона –</w:t>
            </w:r>
            <w:r w:rsidRPr="008C17FB">
              <w:rPr>
                <w:color w:val="000000" w:themeColor="text1"/>
              </w:rPr>
              <w:t xml:space="preserve"> </w:t>
            </w:r>
            <w:r w:rsidR="00DE1660" w:rsidRPr="008C17FB">
              <w:rPr>
                <w:color w:val="000000" w:themeColor="text1"/>
              </w:rPr>
              <w:t>15,831</w:t>
            </w:r>
            <w:r w:rsidRPr="008C17FB">
              <w:rPr>
                <w:color w:val="000000" w:themeColor="text1"/>
              </w:rPr>
              <w:t xml:space="preserve"> МВт. Технические условия </w:t>
            </w:r>
            <w:r w:rsidR="00DE1660" w:rsidRPr="008C17FB">
              <w:rPr>
                <w:color w:val="000000" w:themeColor="text1"/>
              </w:rPr>
              <w:t>№ Я-61/14 от 11/11/14 г. Заявитель - ГКУ КО «Региональное управление заказчика капитального строительства»</w:t>
            </w:r>
            <w:r w:rsidRPr="008C17FB">
              <w:rPr>
                <w:color w:val="000000" w:themeColor="text1"/>
              </w:rPr>
              <w:t>.</w:t>
            </w:r>
            <w:r w:rsidR="0013210F" w:rsidRPr="008C17FB">
              <w:rPr>
                <w:color w:val="000000" w:themeColor="text1"/>
              </w:rPr>
              <w:t xml:space="preserve"> </w:t>
            </w:r>
          </w:p>
          <w:p w:rsidR="009C6B6A" w:rsidRPr="008C17FB" w:rsidRDefault="009C6B6A" w:rsidP="00DE1660">
            <w:pPr>
              <w:pStyle w:val="aff1"/>
              <w:suppressAutoHyphens/>
              <w:ind w:firstLine="709"/>
              <w:rPr>
                <w:color w:val="000000" w:themeColor="text1"/>
              </w:rPr>
            </w:pPr>
          </w:p>
        </w:tc>
      </w:tr>
    </w:tbl>
    <w:p w:rsidR="00440E18" w:rsidRPr="008C17FB" w:rsidRDefault="00440E18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231645038"/>
      <w:bookmarkStart w:id="15" w:name="_Toc309840745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финансирования проекта</w:t>
      </w:r>
      <w:bookmarkEnd w:id="14"/>
      <w:bookmarkEnd w:id="15"/>
    </w:p>
    <w:p w:rsidR="00705072" w:rsidRPr="008C17FB" w:rsidRDefault="00705072" w:rsidP="00705072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753D58" w:rsidRPr="008C17FB" w:rsidTr="0039035F">
        <w:tc>
          <w:tcPr>
            <w:tcW w:w="2376" w:type="dxa"/>
          </w:tcPr>
          <w:p w:rsidR="00753D58" w:rsidRPr="008C17FB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</w:tcPr>
          <w:p w:rsidR="00AC0669" w:rsidRPr="008C17FB" w:rsidRDefault="003D7632" w:rsidP="00AC066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Разработка</w:t>
            </w:r>
            <w:r w:rsidR="00AC0669" w:rsidRPr="008C17FB">
              <w:rPr>
                <w:color w:val="000000" w:themeColor="text1"/>
                <w:sz w:val="24"/>
                <w:szCs w:val="24"/>
              </w:rPr>
              <w:t xml:space="preserve"> ПСД по строительству объекта в 2014-2015 гг. осуществ</w:t>
            </w:r>
            <w:r w:rsidRPr="008C17FB">
              <w:rPr>
                <w:color w:val="000000" w:themeColor="text1"/>
                <w:sz w:val="24"/>
                <w:szCs w:val="24"/>
              </w:rPr>
              <w:t>лена</w:t>
            </w:r>
            <w:r w:rsidR="00AC0669" w:rsidRPr="008C17FB">
              <w:rPr>
                <w:color w:val="000000" w:themeColor="text1"/>
                <w:sz w:val="24"/>
                <w:szCs w:val="24"/>
              </w:rPr>
              <w:t xml:space="preserve"> за счет амортизационных отчислений, 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в 2015 г. подрядчику перечислен аванс за счет бюджет средств, </w:t>
            </w:r>
            <w:r w:rsidR="00AC0669" w:rsidRPr="008C17FB">
              <w:rPr>
                <w:color w:val="000000" w:themeColor="text1"/>
                <w:sz w:val="24"/>
                <w:szCs w:val="24"/>
              </w:rPr>
              <w:t>строительство объекта в 201</w:t>
            </w:r>
            <w:r w:rsidRPr="008C17FB">
              <w:rPr>
                <w:color w:val="000000" w:themeColor="text1"/>
                <w:sz w:val="24"/>
                <w:szCs w:val="24"/>
              </w:rPr>
              <w:t>6</w:t>
            </w:r>
            <w:r w:rsidR="00AC0669" w:rsidRPr="008C17FB">
              <w:rPr>
                <w:color w:val="000000" w:themeColor="text1"/>
                <w:sz w:val="24"/>
                <w:szCs w:val="24"/>
              </w:rPr>
              <w:t>-201</w:t>
            </w:r>
            <w:r w:rsidR="00F64B74" w:rsidRPr="008C17FB">
              <w:rPr>
                <w:color w:val="000000" w:themeColor="text1"/>
                <w:sz w:val="24"/>
                <w:szCs w:val="24"/>
              </w:rPr>
              <w:t>7</w:t>
            </w:r>
            <w:r w:rsidR="00AC0669" w:rsidRPr="008C17FB">
              <w:rPr>
                <w:color w:val="000000" w:themeColor="text1"/>
                <w:sz w:val="24"/>
                <w:szCs w:val="24"/>
              </w:rPr>
              <w:t xml:space="preserve"> гг. планируется осуществить за счет </w:t>
            </w:r>
            <w:r w:rsidR="001624A7" w:rsidRPr="008C17FB">
              <w:rPr>
                <w:color w:val="000000" w:themeColor="text1"/>
                <w:sz w:val="24"/>
                <w:szCs w:val="24"/>
              </w:rPr>
              <w:t xml:space="preserve">собственных средств и </w:t>
            </w:r>
            <w:r w:rsidR="00AC0669" w:rsidRPr="008C17FB">
              <w:rPr>
                <w:color w:val="000000" w:themeColor="text1"/>
                <w:sz w:val="24"/>
                <w:szCs w:val="24"/>
              </w:rPr>
              <w:t>средств федерального бюджета.</w:t>
            </w:r>
          </w:p>
          <w:p w:rsidR="00E93E2E" w:rsidRPr="008C17FB" w:rsidRDefault="00AC0669" w:rsidP="00AC066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Объект подан на включение в «Программу подготовки к проведению в 2018 году в Российской Федерации чемпионата мира по футболу».</w:t>
            </w:r>
          </w:p>
        </w:tc>
      </w:tr>
      <w:tr w:rsidR="00753D58" w:rsidRPr="008C17FB" w:rsidTr="0039035F">
        <w:tc>
          <w:tcPr>
            <w:tcW w:w="2376" w:type="dxa"/>
          </w:tcPr>
          <w:p w:rsidR="00753D58" w:rsidRPr="008C17FB" w:rsidRDefault="00753D58" w:rsidP="001D4BB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75" w:type="dxa"/>
          </w:tcPr>
          <w:p w:rsidR="00040ADD" w:rsidRPr="008C17FB" w:rsidRDefault="00040ADD" w:rsidP="00236318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B7FD3" w:rsidRPr="008C17FB" w:rsidRDefault="00B370BC" w:rsidP="007B7FD3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293590195"/>
      <w:bookmarkStart w:id="17" w:name="_Toc309840746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7FD3"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оказатели операционной деятельности</w:t>
      </w:r>
      <w:bookmarkEnd w:id="16"/>
      <w:bookmarkEnd w:id="17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81"/>
        <w:gridCol w:w="7896"/>
      </w:tblGrid>
      <w:tr w:rsidR="006A4C1A" w:rsidRPr="008C17FB" w:rsidTr="00B2528B">
        <w:tc>
          <w:tcPr>
            <w:tcW w:w="2146" w:type="dxa"/>
          </w:tcPr>
          <w:p w:rsidR="007B0F71" w:rsidRPr="008C17FB" w:rsidRDefault="007B0F71" w:rsidP="002666E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39035F" w:rsidRPr="008C17FB" w:rsidRDefault="0039035F" w:rsidP="002666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A4C1A" w:rsidRPr="008C17FB" w:rsidTr="00B2528B">
        <w:tc>
          <w:tcPr>
            <w:tcW w:w="2146" w:type="dxa"/>
          </w:tcPr>
          <w:p w:rsidR="00DB399E" w:rsidRPr="008C17FB" w:rsidRDefault="00DB399E" w:rsidP="007B7FD3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 xml:space="preserve">Тарифы </w:t>
            </w:r>
            <w:r w:rsidR="007B7FD3" w:rsidRPr="008C17FB">
              <w:rPr>
                <w:b/>
                <w:color w:val="000000" w:themeColor="text1"/>
                <w:sz w:val="24"/>
                <w:szCs w:val="24"/>
              </w:rPr>
              <w:t>на услуги по передаче электрической энергии и размер платы за присоединение к электрическим сетям</w:t>
            </w:r>
          </w:p>
        </w:tc>
        <w:tc>
          <w:tcPr>
            <w:tcW w:w="7831" w:type="dxa"/>
          </w:tcPr>
          <w:p w:rsidR="0073271C" w:rsidRPr="008C17FB" w:rsidRDefault="0073271C" w:rsidP="0073271C">
            <w:pPr>
              <w:jc w:val="both"/>
              <w:rPr>
                <w:sz w:val="24"/>
                <w:szCs w:val="24"/>
              </w:rPr>
            </w:pPr>
            <w:r w:rsidRPr="008C17FB">
              <w:rPr>
                <w:sz w:val="24"/>
                <w:szCs w:val="24"/>
              </w:rPr>
              <w:t>Тариф на передачу на 2015 год определен на уровне 0,87 руб/кВт.ч (без НДС).</w:t>
            </w:r>
          </w:p>
          <w:p w:rsidR="0073271C" w:rsidRPr="008C17FB" w:rsidRDefault="0073271C" w:rsidP="0073271C">
            <w:pPr>
              <w:jc w:val="both"/>
              <w:rPr>
                <w:sz w:val="24"/>
                <w:szCs w:val="24"/>
              </w:rPr>
            </w:pPr>
          </w:p>
          <w:p w:rsidR="0073271C" w:rsidRPr="008C17FB" w:rsidRDefault="0073271C" w:rsidP="0073271C">
            <w:pPr>
              <w:jc w:val="both"/>
              <w:rPr>
                <w:sz w:val="24"/>
                <w:szCs w:val="24"/>
              </w:rPr>
            </w:pPr>
            <w:r w:rsidRPr="008C17FB">
              <w:rPr>
                <w:sz w:val="24"/>
                <w:szCs w:val="24"/>
              </w:rPr>
              <w:t>Согласно Прогнозу социально-экономического развития РФ на 2015 год и плановый период 2016-2017 годов (сентябрь 2014 г.) ИПЦ планируется на уровне:</w:t>
            </w:r>
          </w:p>
          <w:p w:rsidR="0073271C" w:rsidRPr="008C17FB" w:rsidRDefault="0073271C" w:rsidP="0073271C">
            <w:pPr>
              <w:jc w:val="both"/>
              <w:rPr>
                <w:sz w:val="24"/>
                <w:szCs w:val="24"/>
              </w:rPr>
            </w:pPr>
          </w:p>
          <w:p w:rsidR="0073271C" w:rsidRPr="008C17FB" w:rsidRDefault="0073271C" w:rsidP="0073271C">
            <w:pPr>
              <w:jc w:val="both"/>
              <w:rPr>
                <w:sz w:val="24"/>
                <w:szCs w:val="24"/>
              </w:rPr>
            </w:pPr>
            <w:r w:rsidRPr="008C17FB">
              <w:rPr>
                <w:sz w:val="24"/>
                <w:szCs w:val="24"/>
              </w:rPr>
              <w:t>2015 г. – 6,7%, 2016 г. – 4,4%, 2017 г. – 4,3%.</w:t>
            </w:r>
          </w:p>
          <w:p w:rsidR="00E93E2E" w:rsidRPr="008C17FB" w:rsidRDefault="00E93E2E" w:rsidP="0073271C">
            <w:pPr>
              <w:jc w:val="both"/>
              <w:rPr>
                <w:sz w:val="24"/>
                <w:szCs w:val="24"/>
              </w:rPr>
            </w:pPr>
          </w:p>
          <w:p w:rsidR="0073271C" w:rsidRPr="008C17FB" w:rsidRDefault="0073271C" w:rsidP="0073271C">
            <w:pPr>
              <w:spacing w:before="120"/>
              <w:jc w:val="both"/>
              <w:rPr>
                <w:sz w:val="24"/>
                <w:szCs w:val="24"/>
              </w:rPr>
            </w:pPr>
            <w:r w:rsidRPr="008C17FB">
              <w:rPr>
                <w:sz w:val="24"/>
                <w:szCs w:val="24"/>
              </w:rPr>
              <w:t>ИПЦ на период 2018-2030 гг. приняты в соответствии с Пояснительной запиской МИНЭКОНОМРАЗВИТИЯ РФ «О прогнозе долгосрочного социально-экономического развития Российской Федерации на период до 2030 года» (ноябрь 2013 г.).</w:t>
            </w:r>
          </w:p>
          <w:p w:rsidR="0039035F" w:rsidRPr="008C17FB" w:rsidRDefault="0039035F" w:rsidP="00F80C8C">
            <w:pPr>
              <w:jc w:val="center"/>
              <w:rPr>
                <w:color w:val="000000" w:themeColor="text1"/>
              </w:rPr>
            </w:pPr>
          </w:p>
        </w:tc>
      </w:tr>
      <w:tr w:rsidR="006A4C1A" w:rsidRPr="008C17FB" w:rsidTr="00B2528B">
        <w:tc>
          <w:tcPr>
            <w:tcW w:w="2146" w:type="dxa"/>
          </w:tcPr>
          <w:p w:rsidR="007B0F71" w:rsidRPr="008C17FB" w:rsidRDefault="0003637A" w:rsidP="0003637A">
            <w:pPr>
              <w:ind w:right="193"/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t>Изменение выручки в результате реализации инвестиционног</w:t>
            </w:r>
            <w:r w:rsidRPr="008C17FB">
              <w:rPr>
                <w:b/>
                <w:color w:val="000000" w:themeColor="text1"/>
                <w:sz w:val="24"/>
                <w:szCs w:val="24"/>
              </w:rPr>
              <w:lastRenderedPageBreak/>
              <w:t>о проекта</w:t>
            </w:r>
          </w:p>
        </w:tc>
        <w:tc>
          <w:tcPr>
            <w:tcW w:w="7831" w:type="dxa"/>
          </w:tcPr>
          <w:p w:rsidR="00302F02" w:rsidRPr="008C17FB" w:rsidRDefault="00152142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lastRenderedPageBreak/>
              <w:t xml:space="preserve">При определении доходной части проекта учитывается </w:t>
            </w:r>
            <w:r w:rsidR="00302F02" w:rsidRPr="008C17FB">
              <w:rPr>
                <w:color w:val="000000" w:themeColor="text1"/>
                <w:sz w:val="24"/>
                <w:szCs w:val="24"/>
              </w:rPr>
              <w:t>изменение выручки за счет реализации проекта</w:t>
            </w:r>
            <w:r w:rsidR="00C01A61" w:rsidRPr="008C17FB">
              <w:rPr>
                <w:color w:val="000000" w:themeColor="text1"/>
                <w:sz w:val="24"/>
                <w:szCs w:val="24"/>
              </w:rPr>
              <w:t>. Учитывается</w:t>
            </w:r>
            <w:r w:rsidR="00302F02"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  <w:r w:rsidR="002566A7" w:rsidRPr="008C17FB">
              <w:rPr>
                <w:color w:val="000000" w:themeColor="text1"/>
                <w:sz w:val="24"/>
                <w:szCs w:val="24"/>
              </w:rPr>
              <w:t xml:space="preserve">выручка </w:t>
            </w:r>
            <w:r w:rsidR="00545E89" w:rsidRPr="008C17FB">
              <w:rPr>
                <w:color w:val="000000" w:themeColor="text1"/>
                <w:sz w:val="24"/>
                <w:szCs w:val="24"/>
              </w:rPr>
              <w:t>от услуг по технологическому присоединению новых потребителей</w:t>
            </w:r>
            <w:r w:rsidR="00C01A61" w:rsidRPr="008C17FB">
              <w:rPr>
                <w:color w:val="000000" w:themeColor="text1"/>
                <w:sz w:val="24"/>
                <w:szCs w:val="24"/>
              </w:rPr>
              <w:t xml:space="preserve"> и увеличение выручки за счет деятельности по передаче электрической энергии</w:t>
            </w:r>
            <w:r w:rsidR="00264F80" w:rsidRPr="008C17FB">
              <w:rPr>
                <w:bCs/>
                <w:color w:val="000000" w:themeColor="text1"/>
                <w:sz w:val="26"/>
                <w:szCs w:val="26"/>
              </w:rPr>
              <w:t>:</w:t>
            </w:r>
            <w:r w:rsidRPr="008C17FB">
              <w:rPr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E93E2E" w:rsidRPr="008C17FB" w:rsidRDefault="00E93E2E" w:rsidP="00B51204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  <w:p w:rsidR="006A4C1A" w:rsidRPr="008C17FB" w:rsidRDefault="00BA6DA7" w:rsidP="00B2528B">
            <w:pPr>
              <w:pStyle w:val="aa"/>
              <w:numPr>
                <w:ilvl w:val="0"/>
                <w:numId w:val="22"/>
              </w:num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lastRenderedPageBreak/>
              <w:t>Бюджетное финансирование:</w:t>
            </w:r>
          </w:p>
          <w:p w:rsidR="006C6441" w:rsidRPr="008C17FB" w:rsidRDefault="009B0450" w:rsidP="006C6441">
            <w:pPr>
              <w:pStyle w:val="aa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8C17FB">
              <w:rPr>
                <w:color w:val="000000" w:themeColor="text1"/>
                <w:position w:val="-12"/>
                <w:sz w:val="24"/>
                <w:szCs w:val="24"/>
              </w:rPr>
              <w:object w:dxaOrig="2560" w:dyaOrig="360">
                <v:shape id="_x0000_i1026" type="#_x0000_t75" style="width:129pt;height:18.6pt" o:ole="">
                  <v:imagedata r:id="rId10" o:title=""/>
                </v:shape>
                <o:OLEObject Type="Embed" ProgID="Equation.3" ShapeID="_x0000_i1026" DrawAspect="Content" ObjectID="_1520773013" r:id="rId11"/>
              </w:object>
            </w:r>
          </w:p>
          <w:p w:rsidR="006F6825" w:rsidRPr="008C17FB" w:rsidRDefault="009B0450" w:rsidP="00152142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8C17FB">
              <w:rPr>
                <w:color w:val="000000" w:themeColor="text1"/>
                <w:position w:val="-12"/>
                <w:sz w:val="24"/>
                <w:szCs w:val="24"/>
              </w:rPr>
              <w:object w:dxaOrig="2560" w:dyaOrig="360">
                <v:shape id="_x0000_i1027" type="#_x0000_t75" style="width:129pt;height:18.6pt" o:ole="">
                  <v:imagedata r:id="rId12" o:title=""/>
                </v:shape>
                <o:OLEObject Type="Embed" ProgID="Equation.3" ShapeID="_x0000_i1027" DrawAspect="Content" ObjectID="_1520773014" r:id="rId13"/>
              </w:object>
            </w:r>
          </w:p>
          <w:p w:rsidR="006F6825" w:rsidRPr="008C17FB" w:rsidRDefault="00D80FAD" w:rsidP="00152142">
            <w:pPr>
              <w:ind w:left="720"/>
              <w:jc w:val="both"/>
              <w:rPr>
                <w:color w:val="000000" w:themeColor="text1"/>
                <w:position w:val="-12"/>
                <w:sz w:val="24"/>
                <w:szCs w:val="24"/>
              </w:rPr>
            </w:pPr>
            <w:r w:rsidRPr="008C17FB">
              <w:rPr>
                <w:color w:val="000000" w:themeColor="text1"/>
                <w:position w:val="-12"/>
                <w:sz w:val="24"/>
                <w:szCs w:val="24"/>
              </w:rPr>
              <w:object w:dxaOrig="2560" w:dyaOrig="360">
                <v:shape id="_x0000_i1028" type="#_x0000_t75" style="width:127.8pt;height:18.6pt" o:ole="">
                  <v:imagedata r:id="rId14" o:title=""/>
                </v:shape>
                <o:OLEObject Type="Embed" ProgID="Equation.3" ShapeID="_x0000_i1028" DrawAspect="Content" ObjectID="_1520773015" r:id="rId15"/>
              </w:object>
            </w:r>
          </w:p>
          <w:p w:rsidR="00B2528B" w:rsidRPr="008C17FB" w:rsidRDefault="006A4C1A" w:rsidP="00B2528B">
            <w:pPr>
              <w:pStyle w:val="aa"/>
              <w:numPr>
                <w:ilvl w:val="0"/>
                <w:numId w:val="22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Выручка за счет деятельности по передаче электрической энергии </w:t>
            </w:r>
          </w:p>
          <w:p w:rsidR="00F01159" w:rsidRPr="008C17FB" w:rsidRDefault="00F01159" w:rsidP="00F0115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Увеличение выручки за счет изменения полезного отпуска представлено в таблице</w:t>
            </w:r>
            <w:r w:rsidR="0076615E" w:rsidRPr="008C17FB">
              <w:rPr>
                <w:color w:val="000000" w:themeColor="text1"/>
                <w:sz w:val="24"/>
                <w:szCs w:val="24"/>
              </w:rPr>
              <w:t xml:space="preserve"> 5</w:t>
            </w:r>
            <w:r w:rsidRPr="008C17FB">
              <w:rPr>
                <w:color w:val="000000" w:themeColor="text1"/>
                <w:sz w:val="24"/>
                <w:szCs w:val="24"/>
              </w:rPr>
              <w:t>:</w:t>
            </w:r>
          </w:p>
          <w:p w:rsidR="0076615E" w:rsidRPr="008C17FB" w:rsidRDefault="0076615E" w:rsidP="0076615E">
            <w:pPr>
              <w:pStyle w:val="af"/>
              <w:rPr>
                <w:b/>
                <w:color w:val="000000" w:themeColor="text1"/>
              </w:rPr>
            </w:pPr>
            <w:r w:rsidRPr="008C17FB">
              <w:rPr>
                <w:b/>
                <w:color w:val="000000" w:themeColor="text1"/>
              </w:rPr>
              <w:t>Таблица 5. Выручка за счет деятельности по передаче электрической энергии</w:t>
            </w:r>
          </w:p>
          <w:bookmarkStart w:id="18" w:name="_MON_1412780855"/>
          <w:bookmarkStart w:id="19" w:name="_MON_1412780867"/>
          <w:bookmarkStart w:id="20" w:name="_MON_1445945501"/>
          <w:bookmarkStart w:id="21" w:name="_MON_1412780879"/>
          <w:bookmarkStart w:id="22" w:name="_MON_1412780893"/>
          <w:bookmarkStart w:id="23" w:name="_MON_1460808479"/>
          <w:bookmarkStart w:id="24" w:name="_MON_1460808495"/>
          <w:bookmarkStart w:id="25" w:name="_MON_1412780907"/>
          <w:bookmarkStart w:id="26" w:name="_MON_1412780918"/>
          <w:bookmarkStart w:id="27" w:name="_MON_1475066783"/>
          <w:bookmarkStart w:id="28" w:name="_MON_1475066792"/>
          <w:bookmarkStart w:id="29" w:name="_MON_1412780926"/>
          <w:bookmarkStart w:id="30" w:name="_MON_1412780930"/>
          <w:bookmarkStart w:id="31" w:name="_MON_1412780943"/>
          <w:bookmarkStart w:id="32" w:name="_MON_1488632578"/>
          <w:bookmarkStart w:id="33" w:name="_MON_1488632610"/>
          <w:bookmarkStart w:id="34" w:name="_MON_1484465099"/>
          <w:bookmarkStart w:id="35" w:name="_MON_1412780964"/>
          <w:bookmarkStart w:id="36" w:name="_MON_1401186071"/>
          <w:bookmarkStart w:id="37" w:name="_MON_1401186083"/>
          <w:bookmarkStart w:id="38" w:name="_MON_1413018498"/>
          <w:bookmarkStart w:id="39" w:name="_MON_1401185894"/>
          <w:bookmarkStart w:id="40" w:name="_MON_1412780731"/>
          <w:bookmarkStart w:id="41" w:name="_MON_1484728576"/>
          <w:bookmarkStart w:id="42" w:name="_MON_1484728589"/>
          <w:bookmarkStart w:id="43" w:name="_MON_1484728597"/>
          <w:bookmarkStart w:id="44" w:name="_MON_1484729006"/>
          <w:bookmarkStart w:id="45" w:name="_MON_1484729016"/>
          <w:bookmarkStart w:id="46" w:name="_MON_1430650370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bookmarkEnd w:id="28"/>
          <w:bookmarkEnd w:id="29"/>
          <w:bookmarkEnd w:id="30"/>
          <w:bookmarkEnd w:id="31"/>
          <w:bookmarkEnd w:id="32"/>
          <w:bookmarkEnd w:id="33"/>
          <w:bookmarkEnd w:id="34"/>
          <w:bookmarkEnd w:id="35"/>
          <w:bookmarkEnd w:id="36"/>
          <w:bookmarkEnd w:id="37"/>
          <w:bookmarkEnd w:id="38"/>
          <w:bookmarkEnd w:id="39"/>
          <w:bookmarkEnd w:id="40"/>
          <w:bookmarkEnd w:id="41"/>
          <w:bookmarkEnd w:id="42"/>
          <w:bookmarkEnd w:id="43"/>
          <w:bookmarkEnd w:id="44"/>
          <w:bookmarkEnd w:id="45"/>
          <w:bookmarkEnd w:id="46"/>
          <w:bookmarkStart w:id="47" w:name="_MON_1412780753"/>
          <w:bookmarkEnd w:id="47"/>
          <w:p w:rsidR="00730E9E" w:rsidRPr="008C17FB" w:rsidRDefault="00803CAD" w:rsidP="00730E9E">
            <w:pPr>
              <w:ind w:left="-2" w:hanging="12"/>
              <w:jc w:val="both"/>
              <w:rPr>
                <w:color w:val="000000" w:themeColor="text1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object w:dxaOrig="14905" w:dyaOrig="6707">
                <v:shape id="_x0000_i1029" type="#_x0000_t75" style="width:405.6pt;height:180.6pt" o:ole="">
                  <v:imagedata r:id="rId16" o:title=""/>
                </v:shape>
                <o:OLEObject Type="Embed" ProgID="Excel.Sheet.8" ShapeID="_x0000_i1029" DrawAspect="Content" ObjectID="_1520773016" r:id="rId17"/>
              </w:object>
            </w:r>
          </w:p>
          <w:p w:rsidR="00730E9E" w:rsidRPr="008C17FB" w:rsidRDefault="005509A6" w:rsidP="00730E9E">
            <w:pPr>
              <w:jc w:val="both"/>
              <w:rPr>
                <w:i/>
                <w:color w:val="000000" w:themeColor="text1"/>
                <w:lang w:val="en-US"/>
              </w:rPr>
            </w:pPr>
            <w:r w:rsidRPr="008C17FB">
              <w:rPr>
                <w:color w:val="000000" w:themeColor="text1"/>
                <w:position w:val="-14"/>
                <w:sz w:val="24"/>
                <w:szCs w:val="24"/>
              </w:rPr>
              <w:object w:dxaOrig="7060" w:dyaOrig="380">
                <v:shape id="_x0000_i1030" type="#_x0000_t75" style="width:352.8pt;height:18.6pt" o:ole="">
                  <v:imagedata r:id="rId18" o:title=""/>
                </v:shape>
                <o:OLEObject Type="Embed" ProgID="Equation.3" ShapeID="_x0000_i1030" DrawAspect="Content" ObjectID="_1520773017" r:id="rId19"/>
              </w:object>
            </w:r>
          </w:p>
          <w:p w:rsidR="00730E9E" w:rsidRPr="008C17FB" w:rsidRDefault="008B7A6C" w:rsidP="00730E9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i/>
                <w:color w:val="000000" w:themeColor="text1"/>
                <w:sz w:val="24"/>
                <w:szCs w:val="24"/>
              </w:rPr>
              <w:t>4380</w:t>
            </w:r>
            <w:r w:rsidR="00FB048B" w:rsidRPr="008C17F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730E9E" w:rsidRPr="008C17FB">
              <w:rPr>
                <w:color w:val="000000" w:themeColor="text1"/>
                <w:sz w:val="24"/>
                <w:szCs w:val="24"/>
              </w:rPr>
              <w:t>- число часов использования нагрузки в год.</w:t>
            </w:r>
          </w:p>
          <w:p w:rsidR="00730E9E" w:rsidRPr="008C17FB" w:rsidRDefault="00730E9E" w:rsidP="00730E9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i/>
                <w:color w:val="000000" w:themeColor="text1"/>
                <w:sz w:val="24"/>
                <w:szCs w:val="24"/>
              </w:rPr>
              <w:t>0,87 руб./кВтч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- тариф на передачу в 201</w:t>
            </w:r>
            <w:r w:rsidR="0073271C" w:rsidRPr="008C17FB">
              <w:rPr>
                <w:color w:val="000000" w:themeColor="text1"/>
                <w:sz w:val="24"/>
                <w:szCs w:val="24"/>
              </w:rPr>
              <w:t>5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году.</w:t>
            </w:r>
          </w:p>
          <w:p w:rsidR="00730E9E" w:rsidRPr="008C17FB" w:rsidRDefault="0058431C" w:rsidP="00730E9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i/>
                <w:color w:val="000000" w:themeColor="text1"/>
                <w:sz w:val="24"/>
                <w:szCs w:val="24"/>
              </w:rPr>
              <w:t>15</w:t>
            </w:r>
            <w:r w:rsidR="0013210F" w:rsidRPr="008C17FB">
              <w:rPr>
                <w:i/>
                <w:color w:val="000000" w:themeColor="text1"/>
                <w:sz w:val="24"/>
                <w:szCs w:val="24"/>
              </w:rPr>
              <w:t>,831</w:t>
            </w:r>
            <w:r w:rsidR="00730E9E" w:rsidRPr="008C17FB">
              <w:rPr>
                <w:i/>
                <w:color w:val="000000" w:themeColor="text1"/>
                <w:sz w:val="24"/>
                <w:szCs w:val="24"/>
              </w:rPr>
              <w:t xml:space="preserve"> МВт </w:t>
            </w:r>
            <w:r w:rsidR="00730E9E" w:rsidRPr="008C17FB">
              <w:rPr>
                <w:color w:val="000000" w:themeColor="text1"/>
                <w:sz w:val="24"/>
                <w:szCs w:val="24"/>
              </w:rPr>
              <w:t>– мощность, присоединяемая в 201</w:t>
            </w:r>
            <w:r w:rsidR="00F44EC9" w:rsidRPr="008C17FB">
              <w:rPr>
                <w:color w:val="000000" w:themeColor="text1"/>
                <w:sz w:val="24"/>
                <w:szCs w:val="24"/>
              </w:rPr>
              <w:t>8</w:t>
            </w:r>
            <w:r w:rsidR="00730E9E" w:rsidRPr="008C17FB">
              <w:rPr>
                <w:color w:val="000000" w:themeColor="text1"/>
                <w:sz w:val="24"/>
                <w:szCs w:val="24"/>
              </w:rPr>
              <w:t xml:space="preserve"> г.</w:t>
            </w:r>
          </w:p>
          <w:p w:rsidR="00730E9E" w:rsidRPr="008C17FB" w:rsidRDefault="00730E9E" w:rsidP="00730E9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93E2E" w:rsidRPr="008C17FB" w:rsidRDefault="00E93E2E" w:rsidP="006C776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A4C1A" w:rsidRPr="008C17FB" w:rsidTr="00B2528B">
        <w:tc>
          <w:tcPr>
            <w:tcW w:w="2146" w:type="dxa"/>
          </w:tcPr>
          <w:p w:rsidR="007B0F71" w:rsidRPr="008C17FB" w:rsidRDefault="00A3451A" w:rsidP="00A3451A">
            <w:pPr>
              <w:rPr>
                <w:b/>
                <w:color w:val="000000" w:themeColor="text1"/>
                <w:sz w:val="24"/>
                <w:szCs w:val="24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</w:rPr>
              <w:lastRenderedPageBreak/>
              <w:t>Изменение затрат от операционной деятельности в случае реализации проекта</w:t>
            </w:r>
          </w:p>
        </w:tc>
        <w:tc>
          <w:tcPr>
            <w:tcW w:w="7831" w:type="dxa"/>
          </w:tcPr>
          <w:p w:rsidR="00997C82" w:rsidRPr="008C17FB" w:rsidRDefault="00997C82" w:rsidP="00997C8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  <w:lang w:eastAsia="ru-RU"/>
              </w:rPr>
              <w:t xml:space="preserve">Нормативный срок 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эксплуатации </w:t>
            </w:r>
            <w:r w:rsidR="00B07683" w:rsidRPr="008C17FB">
              <w:rPr>
                <w:color w:val="000000" w:themeColor="text1"/>
                <w:sz w:val="24"/>
                <w:szCs w:val="24"/>
              </w:rPr>
              <w:t xml:space="preserve">ПС 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110 кВ – </w:t>
            </w:r>
            <w:r w:rsidR="00B07683" w:rsidRPr="008C17FB">
              <w:rPr>
                <w:color w:val="000000" w:themeColor="text1"/>
                <w:sz w:val="24"/>
                <w:szCs w:val="24"/>
              </w:rPr>
              <w:t>25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лет.</w:t>
            </w:r>
          </w:p>
          <w:p w:rsidR="006C6441" w:rsidRPr="008C17FB" w:rsidRDefault="006C6441" w:rsidP="00997C8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</w:p>
          <w:p w:rsidR="00C26CA6" w:rsidRPr="008C17FB" w:rsidRDefault="00C26CA6" w:rsidP="00C26C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8C17FB">
              <w:rPr>
                <w:color w:val="000000" w:themeColor="text1"/>
                <w:sz w:val="24"/>
                <w:szCs w:val="24"/>
                <w:lang w:eastAsia="ru-RU"/>
              </w:rPr>
              <w:t>Устанавливаемое на ПС оборудование относится к 7-ой амортизационной группе со сроком полезного использования 20 лет.</w:t>
            </w:r>
          </w:p>
          <w:p w:rsidR="006C6441" w:rsidRPr="008C17FB" w:rsidRDefault="006C6441" w:rsidP="00C26C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C26CA6" w:rsidRPr="008C17FB" w:rsidRDefault="00C26CA6" w:rsidP="00C26C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 xml:space="preserve">Эксплуатационные расходы после реконструкции планируются в размере </w:t>
            </w:r>
            <w:r w:rsidR="000A480C" w:rsidRPr="008C17FB">
              <w:rPr>
                <w:color w:val="000000" w:themeColor="text1"/>
                <w:sz w:val="24"/>
                <w:szCs w:val="24"/>
              </w:rPr>
              <w:t>3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00 тыс. руб., затраты на текущий ремонт планируются в сумме </w:t>
            </w:r>
            <w:r w:rsidR="000A480C" w:rsidRPr="008C17FB">
              <w:rPr>
                <w:color w:val="000000" w:themeColor="text1"/>
                <w:sz w:val="24"/>
                <w:szCs w:val="24"/>
              </w:rPr>
              <w:t>7</w:t>
            </w:r>
            <w:r w:rsidRPr="008C17FB">
              <w:rPr>
                <w:color w:val="000000" w:themeColor="text1"/>
                <w:sz w:val="24"/>
                <w:szCs w:val="24"/>
              </w:rPr>
              <w:t>00 тыс. руб. с периодичностью 1 раз в 3 года, проведение капитальных ремонтов планируется 1 раз в 8 лет в сумме 2 000  тыс. руб. в год без НДС в ценах 201</w:t>
            </w:r>
            <w:r w:rsidR="006862B3" w:rsidRPr="008C17FB">
              <w:rPr>
                <w:color w:val="000000" w:themeColor="text1"/>
                <w:sz w:val="24"/>
                <w:szCs w:val="24"/>
              </w:rPr>
              <w:t>5</w:t>
            </w:r>
            <w:r w:rsidRPr="008C17FB">
              <w:rPr>
                <w:color w:val="000000" w:themeColor="text1"/>
                <w:sz w:val="24"/>
                <w:szCs w:val="24"/>
              </w:rPr>
              <w:t xml:space="preserve"> г. </w:t>
            </w:r>
            <w:r w:rsidR="00404AA5" w:rsidRPr="008C17FB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6C6441" w:rsidRPr="008C17FB" w:rsidRDefault="006C6441" w:rsidP="00C26CA6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</w:p>
          <w:p w:rsidR="00102A47" w:rsidRPr="008C17FB" w:rsidRDefault="00997C82" w:rsidP="00997C8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По налогу на имущество установлены федеральные налоговые льготы. В частности, от уплаты налога освобождаются линии электропередач, а также сооружения, являющихся неотъемлемой частью указанных объектов. Перечень имущества, относящегося к указанным объектам, утверждается Правительством Российской Федерации. Данный перечень утвержден  Постановлением Правительства РФ от 30 сентября 2004 г. N 504 "О перечне имущества, относящегося к железнодорожным путям общего пользования, федеральным автомобильным дорогам общего пользования, магистральным трубопроводам, линиям энергопередачи, а также сооружений, являющихся неотъемлемой технологической частью указанных объектов, в отношении которых организации освобождаются от обложения налогом на имущество организаций".</w:t>
            </w:r>
          </w:p>
          <w:p w:rsidR="006C6441" w:rsidRPr="008C17FB" w:rsidRDefault="006C6441" w:rsidP="00997C82">
            <w:pPr>
              <w:pStyle w:val="12"/>
              <w:spacing w:before="0"/>
              <w:ind w:left="1" w:firstLine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A4C1A" w:rsidRPr="008C17FB" w:rsidTr="00B2528B">
        <w:tc>
          <w:tcPr>
            <w:tcW w:w="2146" w:type="dxa"/>
          </w:tcPr>
          <w:p w:rsidR="00702052" w:rsidRPr="008C17FB" w:rsidRDefault="00702052" w:rsidP="00913A3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31" w:type="dxa"/>
          </w:tcPr>
          <w:p w:rsidR="00702052" w:rsidRPr="008C17FB" w:rsidRDefault="00702052" w:rsidP="00FB13A2">
            <w:pPr>
              <w:pStyle w:val="12"/>
              <w:spacing w:before="0"/>
              <w:ind w:left="0"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40E18" w:rsidRPr="008C17FB" w:rsidRDefault="0062621A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_Toc231645040"/>
      <w:bookmarkStart w:id="49" w:name="_Toc309840747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440E18"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экономической</w:t>
      </w:r>
      <w:r w:rsidR="00440E18"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инвестиционного</w:t>
      </w:r>
      <w:r w:rsidR="00440E18"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E18" w:rsidRPr="008C17FB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проекта</w:t>
      </w:r>
      <w:bookmarkEnd w:id="48"/>
      <w:bookmarkEnd w:id="49"/>
    </w:p>
    <w:p w:rsidR="00C80F73" w:rsidRPr="008C17FB" w:rsidRDefault="00C80F73" w:rsidP="0058593D">
      <w:pPr>
        <w:rPr>
          <w:color w:val="000000" w:themeColor="text1"/>
        </w:rPr>
      </w:pPr>
    </w:p>
    <w:p w:rsidR="006C6441" w:rsidRPr="008C17FB" w:rsidRDefault="006C6441" w:rsidP="0058593D">
      <w:pPr>
        <w:rPr>
          <w:color w:val="000000" w:themeColor="text1"/>
        </w:rPr>
      </w:pPr>
    </w:p>
    <w:p w:rsidR="003E145C" w:rsidRPr="008C17FB" w:rsidRDefault="003E145C" w:rsidP="003E145C">
      <w:pPr>
        <w:ind w:right="-81"/>
        <w:jc w:val="center"/>
        <w:rPr>
          <w:color w:val="000000" w:themeColor="text1"/>
          <w:sz w:val="26"/>
          <w:szCs w:val="26"/>
        </w:rPr>
      </w:pPr>
      <w:r w:rsidRPr="008C17FB">
        <w:rPr>
          <w:color w:val="000000" w:themeColor="text1"/>
          <w:sz w:val="26"/>
          <w:szCs w:val="26"/>
        </w:rPr>
        <w:t>Исходные данные для оценки эффективности проекта</w:t>
      </w:r>
    </w:p>
    <w:p w:rsidR="006C6441" w:rsidRPr="008C17FB" w:rsidRDefault="006C6441" w:rsidP="003E145C">
      <w:pPr>
        <w:ind w:right="-81"/>
        <w:jc w:val="center"/>
        <w:rPr>
          <w:color w:val="000000" w:themeColor="text1"/>
          <w:sz w:val="26"/>
          <w:szCs w:val="26"/>
        </w:rPr>
      </w:pPr>
    </w:p>
    <w:p w:rsidR="0076615E" w:rsidRPr="008C17FB" w:rsidRDefault="0076615E" w:rsidP="00FE2935">
      <w:pPr>
        <w:ind w:right="-81"/>
        <w:jc w:val="right"/>
        <w:rPr>
          <w:color w:val="000000" w:themeColor="text1"/>
          <w:sz w:val="26"/>
          <w:szCs w:val="26"/>
        </w:rPr>
      </w:pPr>
      <w:r w:rsidRPr="008C17FB">
        <w:rPr>
          <w:color w:val="000000" w:themeColor="text1"/>
          <w:sz w:val="26"/>
          <w:szCs w:val="26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7"/>
        <w:gridCol w:w="2380"/>
      </w:tblGrid>
      <w:tr w:rsidR="003E145C" w:rsidRPr="008C17FB" w:rsidTr="00AC2696">
        <w:trPr>
          <w:trHeight w:val="255"/>
          <w:tblHeader/>
          <w:jc w:val="center"/>
        </w:trPr>
        <w:tc>
          <w:tcPr>
            <w:tcW w:w="3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E145C" w:rsidRPr="008C17FB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3E145C" w:rsidRPr="008C17FB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8C17FB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Основные параметры расчета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8C17FB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Год начала инвестиционного проекта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8C17FB" w:rsidRDefault="00DA745C" w:rsidP="00EE60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CA67D4"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EE604E"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3E145C" w:rsidRPr="008C17FB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Установленная ставка дисконтирования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8C17FB" w:rsidRDefault="0073271C" w:rsidP="00C26C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3E145C" w:rsidRPr="008C17FB" w:rsidTr="00AC2696">
        <w:trPr>
          <w:trHeight w:val="255"/>
          <w:jc w:val="center"/>
        </w:trPr>
        <w:tc>
          <w:tcPr>
            <w:tcW w:w="3826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Нормативный срок службы 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8C17FB" w:rsidRDefault="00C26CA6" w:rsidP="00C26CA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</w:tr>
      <w:tr w:rsidR="003E145C" w:rsidRPr="008C17FB" w:rsidTr="00AC2696">
        <w:trPr>
          <w:trHeight w:val="255"/>
          <w:jc w:val="center"/>
        </w:trPr>
        <w:tc>
          <w:tcPr>
            <w:tcW w:w="382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Налоговые ставки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E145C" w:rsidRPr="008C17FB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добавленную стоимость (НДС)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  <w:tr w:rsidR="003E145C" w:rsidRPr="008C17FB" w:rsidTr="00AC2696">
        <w:trPr>
          <w:trHeight w:val="255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прибыль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3E145C" w:rsidRPr="008C17FB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Налог на имущество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3E145C" w:rsidRPr="008C17FB" w:rsidTr="00510896">
        <w:trPr>
          <w:trHeight w:val="74"/>
          <w:jc w:val="center"/>
        </w:trPr>
        <w:tc>
          <w:tcPr>
            <w:tcW w:w="3826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3E145C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Отчисления на социальное страхование</w:t>
            </w:r>
          </w:p>
        </w:tc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E145C" w:rsidRPr="008C17FB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</w:tr>
    </w:tbl>
    <w:p w:rsidR="003E145C" w:rsidRPr="008C17FB" w:rsidRDefault="003E145C" w:rsidP="00836F0A">
      <w:pPr>
        <w:rPr>
          <w:color w:val="000000" w:themeColor="text1"/>
        </w:rPr>
      </w:pPr>
    </w:p>
    <w:p w:rsidR="00895587" w:rsidRPr="008C17FB" w:rsidRDefault="00895587" w:rsidP="00895587">
      <w:pPr>
        <w:jc w:val="both"/>
        <w:rPr>
          <w:lang w:eastAsia="en-US"/>
        </w:rPr>
      </w:pPr>
      <w:r w:rsidRPr="008C17FB">
        <w:rPr>
          <w:lang w:eastAsia="en-US"/>
        </w:rPr>
        <w:t>Согласно сценарным условиям формирования инвестиционных программ ДЗО ОАО «Россети» (письмо ОАО «Россети» № БД/100/110 от 30.01.15 г.) при расчете экономической эффективности ставка дисконтирования должна соответствовать: для компаний группы кредитоспособности «А» - 16,5%, для компаний группы «Б» - 19,5%, для компаний группы «В» - 20,5%.</w:t>
      </w:r>
    </w:p>
    <w:p w:rsidR="00EC7021" w:rsidRPr="008C17FB" w:rsidRDefault="00EC7021" w:rsidP="00EC7021">
      <w:pPr>
        <w:ind w:right="-81"/>
        <w:jc w:val="center"/>
        <w:rPr>
          <w:color w:val="000000" w:themeColor="text1"/>
          <w:sz w:val="26"/>
          <w:szCs w:val="26"/>
        </w:rPr>
      </w:pPr>
      <w:r w:rsidRPr="008C17FB">
        <w:rPr>
          <w:color w:val="000000" w:themeColor="text1"/>
          <w:sz w:val="26"/>
          <w:szCs w:val="26"/>
        </w:rPr>
        <w:t>Показатели экономической эффективности проекта</w:t>
      </w:r>
    </w:p>
    <w:p w:rsidR="00820DD9" w:rsidRPr="008C17FB" w:rsidRDefault="00820DD9" w:rsidP="00EC7021">
      <w:pPr>
        <w:ind w:right="-81"/>
        <w:jc w:val="center"/>
        <w:rPr>
          <w:color w:val="000000" w:themeColor="text1"/>
          <w:sz w:val="26"/>
          <w:szCs w:val="26"/>
        </w:rPr>
      </w:pPr>
    </w:p>
    <w:p w:rsidR="00EC7021" w:rsidRPr="008C17FB" w:rsidRDefault="00EC7021" w:rsidP="00EC7021">
      <w:pPr>
        <w:ind w:right="-81"/>
        <w:jc w:val="right"/>
        <w:rPr>
          <w:color w:val="000000" w:themeColor="text1"/>
          <w:sz w:val="26"/>
          <w:szCs w:val="26"/>
        </w:rPr>
      </w:pPr>
      <w:r w:rsidRPr="008C17FB">
        <w:rPr>
          <w:color w:val="000000" w:themeColor="text1"/>
          <w:sz w:val="26"/>
          <w:szCs w:val="26"/>
        </w:rPr>
        <w:t xml:space="preserve">Таблица </w:t>
      </w:r>
      <w:r w:rsidR="0076615E" w:rsidRPr="008C17FB">
        <w:rPr>
          <w:color w:val="000000" w:themeColor="text1"/>
          <w:sz w:val="26"/>
          <w:szCs w:val="26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7"/>
        <w:gridCol w:w="2940"/>
      </w:tblGrid>
      <w:tr w:rsidR="00EC7021" w:rsidRPr="008C17FB" w:rsidTr="00AC2696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EC7021" w:rsidRPr="008C17FB" w:rsidRDefault="00EC7021" w:rsidP="00AC26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noWrap/>
            <w:vAlign w:val="center"/>
          </w:tcPr>
          <w:p w:rsidR="00EC7021" w:rsidRPr="008C17FB" w:rsidRDefault="00EC7021" w:rsidP="00AC26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276D1" w:rsidRPr="008C17FB" w:rsidTr="0008178A">
        <w:trPr>
          <w:trHeight w:val="255"/>
          <w:jc w:val="center"/>
        </w:trPr>
        <w:tc>
          <w:tcPr>
            <w:tcW w:w="35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6D1" w:rsidRPr="008C17FB" w:rsidRDefault="00C276D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NPV, чистый дисконтированный доход проекта, тыс. руб.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276D1" w:rsidRPr="008C17FB" w:rsidRDefault="009B0450" w:rsidP="00775E4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C17FB">
              <w:rPr>
                <w:rFonts w:ascii="Arial" w:hAnsi="Arial" w:cs="Arial"/>
                <w:color w:val="000000" w:themeColor="text1"/>
              </w:rPr>
              <w:t>2</w:t>
            </w:r>
            <w:r w:rsidR="00775E4B">
              <w:rPr>
                <w:rFonts w:ascii="Arial" w:hAnsi="Arial" w:cs="Arial"/>
                <w:color w:val="000000" w:themeColor="text1"/>
              </w:rPr>
              <w:t>9 126</w:t>
            </w:r>
          </w:p>
        </w:tc>
      </w:tr>
      <w:tr w:rsidR="00C276D1" w:rsidRPr="008C17FB" w:rsidTr="0008178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6D1" w:rsidRPr="008C17FB" w:rsidRDefault="00C276D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IRR, внутренняя норма доходности, %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276D1" w:rsidRPr="008C17FB" w:rsidRDefault="00D80FAD" w:rsidP="00775E4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C17FB">
              <w:rPr>
                <w:rFonts w:ascii="Arial" w:hAnsi="Arial" w:cs="Arial"/>
                <w:color w:val="000000" w:themeColor="text1"/>
              </w:rPr>
              <w:t>2</w:t>
            </w:r>
            <w:r w:rsidR="00775E4B">
              <w:rPr>
                <w:rFonts w:ascii="Arial" w:hAnsi="Arial" w:cs="Arial"/>
                <w:color w:val="000000" w:themeColor="text1"/>
              </w:rPr>
              <w:t>2,0</w:t>
            </w:r>
            <w:r w:rsidR="00667ADF" w:rsidRPr="008C17FB">
              <w:rPr>
                <w:rFonts w:ascii="Arial" w:hAnsi="Arial" w:cs="Arial"/>
                <w:color w:val="000000" w:themeColor="text1"/>
              </w:rPr>
              <w:t>%</w:t>
            </w:r>
          </w:p>
        </w:tc>
      </w:tr>
      <w:tr w:rsidR="00C276D1" w:rsidRPr="008C17FB" w:rsidTr="0008178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6D1" w:rsidRPr="008C17FB" w:rsidRDefault="00C276D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276D1" w:rsidRPr="008C17FB" w:rsidRDefault="009E6891" w:rsidP="009B045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C17FB">
              <w:rPr>
                <w:rFonts w:ascii="Arial" w:hAnsi="Arial" w:cs="Arial"/>
                <w:color w:val="000000" w:themeColor="text1"/>
              </w:rPr>
              <w:t>8</w:t>
            </w:r>
            <w:r w:rsidR="00D245AC" w:rsidRPr="008C17FB">
              <w:rPr>
                <w:rFonts w:ascii="Arial" w:hAnsi="Arial" w:cs="Arial"/>
                <w:color w:val="000000" w:themeColor="text1"/>
              </w:rPr>
              <w:t>,</w:t>
            </w:r>
            <w:r w:rsidR="009B0450" w:rsidRPr="008C17FB">
              <w:rPr>
                <w:rFonts w:ascii="Arial" w:hAnsi="Arial" w:cs="Arial"/>
                <w:color w:val="000000" w:themeColor="text1"/>
              </w:rPr>
              <w:t>0</w:t>
            </w:r>
            <w:r w:rsidR="00D80FAD" w:rsidRPr="008C17FB">
              <w:rPr>
                <w:rFonts w:ascii="Arial" w:hAnsi="Arial" w:cs="Arial"/>
                <w:color w:val="000000" w:themeColor="text1"/>
              </w:rPr>
              <w:t>6</w:t>
            </w:r>
          </w:p>
        </w:tc>
      </w:tr>
      <w:tr w:rsidR="00C276D1" w:rsidRPr="008C17FB" w:rsidTr="0008178A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6D1" w:rsidRPr="008C17FB" w:rsidRDefault="00C276D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Дисконтированный срок окупаемости, лет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276D1" w:rsidRPr="008C17FB" w:rsidRDefault="009B0450" w:rsidP="00775E4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C17FB">
              <w:rPr>
                <w:rFonts w:ascii="Arial" w:hAnsi="Arial" w:cs="Arial"/>
                <w:color w:val="000000" w:themeColor="text1"/>
              </w:rPr>
              <w:t>17,</w:t>
            </w:r>
            <w:r w:rsidR="00775E4B">
              <w:rPr>
                <w:rFonts w:ascii="Arial" w:hAnsi="Arial" w:cs="Arial"/>
                <w:color w:val="000000" w:themeColor="text1"/>
              </w:rPr>
              <w:t>78</w:t>
            </w:r>
          </w:p>
        </w:tc>
      </w:tr>
      <w:tr w:rsidR="00EC7021" w:rsidRPr="008C17FB" w:rsidTr="00AC2696">
        <w:trPr>
          <w:trHeight w:val="255"/>
          <w:jc w:val="center"/>
        </w:trPr>
        <w:tc>
          <w:tcPr>
            <w:tcW w:w="3550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021" w:rsidRPr="008C17FB" w:rsidRDefault="00EC7021" w:rsidP="00AC26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17FB"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Индекс доходности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7021" w:rsidRPr="008C17FB" w:rsidRDefault="00D80FAD" w:rsidP="00775E4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C17FB">
              <w:rPr>
                <w:rFonts w:ascii="Arial" w:hAnsi="Arial" w:cs="Arial"/>
                <w:color w:val="000000" w:themeColor="text1"/>
              </w:rPr>
              <w:t>1,0</w:t>
            </w:r>
            <w:r w:rsidR="009B0450" w:rsidRPr="008C17FB">
              <w:rPr>
                <w:rFonts w:ascii="Arial" w:hAnsi="Arial" w:cs="Arial"/>
                <w:color w:val="000000" w:themeColor="text1"/>
              </w:rPr>
              <w:t>3</w:t>
            </w:r>
            <w:r w:rsidR="00775E4B">
              <w:rPr>
                <w:rFonts w:ascii="Arial" w:hAnsi="Arial" w:cs="Arial"/>
                <w:color w:val="000000" w:themeColor="text1"/>
              </w:rPr>
              <w:t>4</w:t>
            </w:r>
          </w:p>
        </w:tc>
      </w:tr>
    </w:tbl>
    <w:p w:rsidR="003E145C" w:rsidRPr="008C17FB" w:rsidRDefault="003E145C" w:rsidP="00836F0A">
      <w:pPr>
        <w:rPr>
          <w:color w:val="000000" w:themeColor="text1"/>
        </w:rPr>
      </w:pPr>
    </w:p>
    <w:p w:rsidR="001B27C7" w:rsidRPr="008C17FB" w:rsidRDefault="001B27C7" w:rsidP="001B27C7">
      <w:pPr>
        <w:rPr>
          <w:color w:val="000000" w:themeColor="text1"/>
        </w:rPr>
      </w:pPr>
      <w:r w:rsidRPr="008C17FB">
        <w:rPr>
          <w:color w:val="000000" w:themeColor="text1"/>
        </w:rPr>
        <w:t>Согласно полученного в результате расчетов показателя внутренней нормы доходности проект отвечает критериям соответствия экономически эффективным проектам.</w:t>
      </w:r>
    </w:p>
    <w:p w:rsidR="00820DD9" w:rsidRPr="008C17FB" w:rsidRDefault="00C354D3" w:rsidP="00836F0A">
      <w:pPr>
        <w:rPr>
          <w:color w:val="000000" w:themeColor="text1"/>
        </w:rPr>
      </w:pPr>
      <w:r w:rsidRPr="008C17FB">
        <w:rPr>
          <w:color w:val="000000" w:themeColor="text1"/>
        </w:rPr>
        <w:t xml:space="preserve"> </w:t>
      </w:r>
      <w:r w:rsidR="002E06AE" w:rsidRPr="008C17FB">
        <w:rPr>
          <w:color w:val="000000" w:themeColor="text1"/>
        </w:rPr>
        <w:t xml:space="preserve"> </w:t>
      </w:r>
    </w:p>
    <w:p w:rsidR="006E2231" w:rsidRPr="008C17FB" w:rsidRDefault="006E2231" w:rsidP="006E2231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_Toc298941663"/>
      <w:bookmarkStart w:id="51" w:name="_Toc309840748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Анализ рисков и чувствительности проекта</w:t>
      </w:r>
      <w:bookmarkEnd w:id="50"/>
      <w:bookmarkEnd w:id="51"/>
    </w:p>
    <w:p w:rsidR="006E2231" w:rsidRPr="008C17FB" w:rsidRDefault="006E2231" w:rsidP="006E2231">
      <w:pPr>
        <w:rPr>
          <w:color w:val="000000" w:themeColor="text1"/>
        </w:rPr>
      </w:pPr>
    </w:p>
    <w:p w:rsidR="00820DD9" w:rsidRPr="008C17FB" w:rsidRDefault="00820DD9" w:rsidP="006E2231">
      <w:pPr>
        <w:rPr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6"/>
        <w:gridCol w:w="7575"/>
      </w:tblGrid>
      <w:tr w:rsidR="006E2231" w:rsidRPr="008C17FB" w:rsidTr="006E2231">
        <w:tc>
          <w:tcPr>
            <w:tcW w:w="2376" w:type="dxa"/>
            <w:hideMark/>
          </w:tcPr>
          <w:p w:rsidR="006E2231" w:rsidRPr="008C17FB" w:rsidRDefault="006E22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8C17FB">
              <w:rPr>
                <w:b/>
                <w:color w:val="000000" w:themeColor="text1"/>
                <w:sz w:val="24"/>
                <w:szCs w:val="24"/>
                <w:lang w:eastAsia="en-US"/>
              </w:rPr>
              <w:t>Анализ рисков и чувствительности проекта</w:t>
            </w:r>
          </w:p>
          <w:p w:rsidR="00FB13A2" w:rsidRPr="008C17FB" w:rsidRDefault="00FB13A2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75" w:type="dxa"/>
          </w:tcPr>
          <w:p w:rsidR="006E2231" w:rsidRPr="008C17FB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C17FB">
              <w:rPr>
                <w:color w:val="000000" w:themeColor="text1"/>
                <w:sz w:val="24"/>
                <w:szCs w:val="24"/>
                <w:lang w:eastAsia="en-US"/>
              </w:rPr>
              <w:t>При оценке чувствительности инвестиционного проекта в качестве факторов, отражающих изменение внешних условий реализации и способных оказать наиболее существенное влияние на эффективность проекта, использова</w:t>
            </w:r>
            <w:r w:rsidR="0040597F" w:rsidRPr="008C17FB">
              <w:rPr>
                <w:color w:val="000000" w:themeColor="text1"/>
                <w:sz w:val="24"/>
                <w:szCs w:val="24"/>
                <w:lang w:eastAsia="en-US"/>
              </w:rPr>
              <w:t>ны</w:t>
            </w:r>
            <w:r w:rsidRPr="008C17FB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6E2231" w:rsidRPr="008C17FB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объем инвестиционных затрат по проекту;</w:t>
            </w:r>
          </w:p>
          <w:p w:rsidR="006E2231" w:rsidRPr="008C17FB" w:rsidRDefault="006E2231" w:rsidP="006E2231">
            <w:pPr>
              <w:pStyle w:val="12"/>
              <w:numPr>
                <w:ilvl w:val="0"/>
                <w:numId w:val="20"/>
              </w:numPr>
              <w:spacing w:before="0"/>
              <w:ind w:left="476" w:right="-28" w:hanging="238"/>
              <w:rPr>
                <w:color w:val="000000" w:themeColor="text1"/>
                <w:sz w:val="24"/>
                <w:szCs w:val="24"/>
              </w:rPr>
            </w:pPr>
            <w:r w:rsidRPr="008C17FB">
              <w:rPr>
                <w:color w:val="000000" w:themeColor="text1"/>
                <w:sz w:val="24"/>
                <w:szCs w:val="24"/>
              </w:rPr>
              <w:t>изменение тарифов на услуги по передаче электрической энергии</w:t>
            </w:r>
            <w:r w:rsidR="0040597F" w:rsidRPr="008C17FB">
              <w:rPr>
                <w:color w:val="000000" w:themeColor="text1"/>
                <w:sz w:val="24"/>
                <w:szCs w:val="24"/>
              </w:rPr>
              <w:t>.</w:t>
            </w:r>
          </w:p>
          <w:p w:rsidR="006E2231" w:rsidRPr="008C17FB" w:rsidRDefault="006E2231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C17FB">
              <w:rPr>
                <w:color w:val="000000" w:themeColor="text1"/>
                <w:sz w:val="24"/>
                <w:szCs w:val="24"/>
                <w:lang w:eastAsia="en-US"/>
              </w:rPr>
              <w:t>Результаты оценки чувствительности инвестиционного проекта пр</w:t>
            </w:r>
            <w:r w:rsidR="0040597F" w:rsidRPr="008C17FB">
              <w:rPr>
                <w:color w:val="000000" w:themeColor="text1"/>
                <w:sz w:val="24"/>
                <w:szCs w:val="24"/>
                <w:lang w:eastAsia="en-US"/>
              </w:rPr>
              <w:t>едставлены в таблице</w:t>
            </w:r>
            <w:r w:rsidRPr="008C17FB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615E" w:rsidRPr="008C17FB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8C17FB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E93E2E" w:rsidRPr="008C17FB" w:rsidRDefault="00E93E2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1F6C60" w:rsidRDefault="001F6C6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3A4B34" w:rsidRDefault="003A4B34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3A4B34" w:rsidRPr="008C17FB" w:rsidRDefault="003A4B34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E2231" w:rsidRPr="008C17FB" w:rsidRDefault="006E2231" w:rsidP="006E2231">
      <w:pPr>
        <w:pStyle w:val="af"/>
        <w:rPr>
          <w:b/>
          <w:color w:val="000000" w:themeColor="text1"/>
        </w:rPr>
      </w:pPr>
      <w:r w:rsidRPr="008C17FB">
        <w:rPr>
          <w:b/>
          <w:color w:val="000000" w:themeColor="text1"/>
        </w:rPr>
        <w:lastRenderedPageBreak/>
        <w:t xml:space="preserve">Таблица </w:t>
      </w:r>
      <w:r w:rsidR="0076615E" w:rsidRPr="008C17FB">
        <w:rPr>
          <w:b/>
          <w:color w:val="000000" w:themeColor="text1"/>
        </w:rPr>
        <w:t>8</w:t>
      </w:r>
      <w:r w:rsidRPr="008C17FB">
        <w:rPr>
          <w:b/>
          <w:color w:val="000000" w:themeColor="text1"/>
        </w:rPr>
        <w:t>. Изменение показателей экономической эффективности</w:t>
      </w:r>
    </w:p>
    <w:p w:rsidR="006E2231" w:rsidRPr="008C17FB" w:rsidRDefault="006E2231" w:rsidP="006E2231">
      <w:pPr>
        <w:rPr>
          <w:color w:val="000000" w:themeColor="text1"/>
        </w:rPr>
      </w:pPr>
    </w:p>
    <w:p w:rsidR="0040597F" w:rsidRPr="008C17FB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8C17FB">
        <w:rPr>
          <w:color w:val="000000" w:themeColor="text1"/>
          <w:sz w:val="26"/>
          <w:szCs w:val="26"/>
        </w:rPr>
        <w:t>А</w:t>
      </w:r>
      <w:r w:rsidRPr="008C17FB">
        <w:rPr>
          <w:color w:val="000000" w:themeColor="text1"/>
        </w:rPr>
        <w:t>нализ чувствительности проекта (фактор изменения объема инвестиционных затрат)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6E2231" w:rsidRPr="008C17FB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8C17FB" w:rsidRDefault="006E2231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C17FB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8C17FB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6E2231" w:rsidRPr="008C17FB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8C17FB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8C17FB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8C17FB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8C17FB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8C17FB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6E2231" w:rsidRPr="008C17FB" w:rsidRDefault="006E2231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C276D1" w:rsidRPr="008C17FB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6D1" w:rsidRPr="008C17FB" w:rsidRDefault="00C276D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8C17FB" w:rsidRDefault="00C276D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A59" w:rsidRPr="008C17FB" w:rsidRDefault="00C304B6" w:rsidP="00F123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47 253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423D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38 190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775E4B" w:rsidP="009A0DD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29 126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774D7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20 063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3B47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10 999</w:t>
            </w:r>
          </w:p>
        </w:tc>
      </w:tr>
      <w:tr w:rsidR="00C276D1" w:rsidRPr="008C17FB" w:rsidTr="00510896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8C17FB" w:rsidRDefault="00C276D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8C17FB" w:rsidRDefault="00C276D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6D1" w:rsidRPr="008C17FB" w:rsidRDefault="00C304B6" w:rsidP="00F123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23,1%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423D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22,5%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775E4B" w:rsidP="006D12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774D7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21,4%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3B47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20,9%</w:t>
            </w:r>
          </w:p>
        </w:tc>
      </w:tr>
      <w:tr w:rsidR="00952A59" w:rsidRPr="008C17FB" w:rsidTr="00FD6E33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59" w:rsidRPr="008C17FB" w:rsidRDefault="00952A5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59" w:rsidRPr="008C17FB" w:rsidRDefault="00952A5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9D5" w:rsidRPr="008C17FB" w:rsidRDefault="00C304B6" w:rsidP="003549D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9" w:rsidRPr="008C17FB" w:rsidRDefault="00423D93" w:rsidP="00FD6E3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9" w:rsidRPr="008C17FB" w:rsidRDefault="00775E4B" w:rsidP="00FD6E3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9" w:rsidRPr="008C17FB" w:rsidRDefault="00774D7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19,61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9" w:rsidRPr="008C17FB" w:rsidRDefault="003B47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22,26</w:t>
            </w:r>
          </w:p>
        </w:tc>
      </w:tr>
      <w:tr w:rsidR="00C276D1" w:rsidRPr="008C17FB" w:rsidTr="0008178A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D1" w:rsidRPr="008C17FB" w:rsidRDefault="00C276D1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D1" w:rsidRPr="008C17FB" w:rsidRDefault="00C276D1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6D1" w:rsidRPr="008C17FB" w:rsidRDefault="00C304B6" w:rsidP="00F123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423D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775E4B" w:rsidP="00EE60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774D7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6D1" w:rsidRPr="008C17FB" w:rsidRDefault="003B47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1,012</w:t>
            </w:r>
          </w:p>
        </w:tc>
      </w:tr>
    </w:tbl>
    <w:p w:rsidR="0040597F" w:rsidRPr="008C17FB" w:rsidRDefault="0040597F" w:rsidP="0040597F">
      <w:pPr>
        <w:spacing w:line="360" w:lineRule="auto"/>
        <w:ind w:firstLine="708"/>
        <w:jc w:val="center"/>
        <w:rPr>
          <w:color w:val="000000" w:themeColor="text1"/>
        </w:rPr>
      </w:pPr>
      <w:r w:rsidRPr="008C17FB">
        <w:rPr>
          <w:color w:val="000000" w:themeColor="text1"/>
          <w:sz w:val="26"/>
          <w:szCs w:val="26"/>
        </w:rPr>
        <w:t>А</w:t>
      </w:r>
      <w:r w:rsidRPr="008C17FB">
        <w:rPr>
          <w:color w:val="000000" w:themeColor="text1"/>
        </w:rPr>
        <w:t>нализ чувствительности проекта (фактор изменения тарифа на услуги по передаче электрической энергии)</w:t>
      </w:r>
    </w:p>
    <w:tbl>
      <w:tblPr>
        <w:tblW w:w="99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0"/>
        <w:gridCol w:w="840"/>
        <w:gridCol w:w="840"/>
        <w:gridCol w:w="840"/>
        <w:gridCol w:w="840"/>
        <w:gridCol w:w="840"/>
        <w:gridCol w:w="840"/>
      </w:tblGrid>
      <w:tr w:rsidR="0040597F" w:rsidRPr="008C17FB" w:rsidTr="0040597F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8C17FB" w:rsidRDefault="0040597F" w:rsidP="00AC2696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C17FB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Отклонения факторов от запланированных показателей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8C17FB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0597F" w:rsidRPr="008C17FB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8C17FB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10</w:t>
            </w: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8C17FB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8C17FB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8C17FB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8C17FB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5</w:t>
            </w: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0597F" w:rsidRPr="008C17FB" w:rsidRDefault="0040597F" w:rsidP="00AC2696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8C17FB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8C17FB">
              <w:rPr>
                <w:b/>
                <w:color w:val="000000" w:themeColor="text1"/>
                <w:sz w:val="22"/>
                <w:szCs w:val="22"/>
                <w:lang w:eastAsia="en-US"/>
              </w:rPr>
              <w:t>0%</w:t>
            </w:r>
          </w:p>
        </w:tc>
      </w:tr>
      <w:tr w:rsidR="00775E4B" w:rsidRPr="008C17FB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E4B" w:rsidRPr="008C17FB" w:rsidRDefault="00775E4B" w:rsidP="00775E4B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NPV, чистая приведенная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E4B" w:rsidRPr="008C17FB" w:rsidRDefault="00775E4B" w:rsidP="00775E4B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E4B" w:rsidRPr="008C17FB" w:rsidRDefault="0014673A" w:rsidP="001467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3 216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E4B" w:rsidRPr="008C17FB" w:rsidRDefault="008968DE" w:rsidP="00896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16 171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75E4B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29 126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57E08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42 081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A37C3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55 037</w:t>
            </w:r>
          </w:p>
        </w:tc>
      </w:tr>
      <w:tr w:rsidR="00775E4B" w:rsidRPr="008C17FB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E4B" w:rsidRPr="008C17FB" w:rsidRDefault="00775E4B" w:rsidP="00775E4B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IRR, внутренняя норма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E4B" w:rsidRPr="008C17FB" w:rsidRDefault="00775E4B" w:rsidP="00775E4B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E4B" w:rsidRPr="008C17FB" w:rsidRDefault="0014673A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20,5%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E4B" w:rsidRPr="008C17FB" w:rsidRDefault="008968DE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21,3%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75E4B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57E08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22,7%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A37C3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23,3%</w:t>
            </w:r>
          </w:p>
        </w:tc>
      </w:tr>
      <w:tr w:rsidR="00775E4B" w:rsidRPr="008C17FB" w:rsidTr="00B83E35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E4B" w:rsidRPr="008C17FB" w:rsidRDefault="00775E4B" w:rsidP="00775E4B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Дисконтированный срок окупаемости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E4B" w:rsidRPr="008C17FB" w:rsidRDefault="00775E4B" w:rsidP="00775E4B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8C17FB">
              <w:rPr>
                <w:color w:val="000000" w:themeColor="text1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E4B" w:rsidRPr="008C17FB" w:rsidRDefault="0014673A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25,90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E4B" w:rsidRPr="008C17FB" w:rsidRDefault="008968DE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75E4B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57E08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A37C3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14,91</w:t>
            </w:r>
          </w:p>
        </w:tc>
      </w:tr>
      <w:tr w:rsidR="00775E4B" w:rsidRPr="008C17FB" w:rsidTr="0008178A">
        <w:trPr>
          <w:trHeight w:val="25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E4B" w:rsidRPr="008C17FB" w:rsidRDefault="00775E4B" w:rsidP="00775E4B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8C17FB">
              <w:rPr>
                <w:bCs/>
                <w:color w:val="000000" w:themeColor="text1"/>
                <w:sz w:val="22"/>
                <w:szCs w:val="22"/>
                <w:lang w:eastAsia="en-US"/>
              </w:rPr>
              <w:t>Индекс доходности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E4B" w:rsidRPr="008C17FB" w:rsidRDefault="00775E4B" w:rsidP="00775E4B">
            <w:pPr>
              <w:spacing w:line="276" w:lineRule="auto"/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E4B" w:rsidRPr="008C17FB" w:rsidRDefault="0014673A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E4B" w:rsidRPr="008C17FB" w:rsidRDefault="008968DE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75E4B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57E08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1,049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E4B" w:rsidRPr="008C17FB" w:rsidRDefault="007A37C3" w:rsidP="00775E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1,064</w:t>
            </w:r>
          </w:p>
        </w:tc>
      </w:tr>
    </w:tbl>
    <w:p w:rsidR="0040597F" w:rsidRPr="008C17FB" w:rsidRDefault="0040597F" w:rsidP="0040597F">
      <w:pPr>
        <w:jc w:val="both"/>
        <w:rPr>
          <w:color w:val="000000" w:themeColor="text1"/>
          <w:lang w:eastAsia="en-US"/>
        </w:rPr>
      </w:pPr>
    </w:p>
    <w:p w:rsidR="0040597F" w:rsidRPr="008C17FB" w:rsidRDefault="0001190F" w:rsidP="0040597F">
      <w:pPr>
        <w:jc w:val="both"/>
        <w:rPr>
          <w:color w:val="000000" w:themeColor="text1"/>
        </w:rPr>
      </w:pPr>
      <w:r w:rsidRPr="008C17FB">
        <w:rPr>
          <w:color w:val="000000" w:themeColor="text1"/>
        </w:rPr>
        <w:t xml:space="preserve">Наиболее значительно на экономических показателях проекта скажется изменение </w:t>
      </w:r>
      <w:r w:rsidR="009E16CC" w:rsidRPr="008C17FB">
        <w:rPr>
          <w:color w:val="000000" w:themeColor="text1"/>
        </w:rPr>
        <w:t>объема инвестиционных затрат</w:t>
      </w:r>
      <w:r w:rsidRPr="008C17FB">
        <w:rPr>
          <w:color w:val="000000" w:themeColor="text1"/>
        </w:rPr>
        <w:t xml:space="preserve">. </w:t>
      </w:r>
    </w:p>
    <w:p w:rsidR="00553AE8" w:rsidRPr="008C17FB" w:rsidRDefault="00553AE8" w:rsidP="0040597F">
      <w:pPr>
        <w:jc w:val="both"/>
        <w:rPr>
          <w:color w:val="000000" w:themeColor="text1"/>
        </w:rPr>
      </w:pPr>
    </w:p>
    <w:p w:rsidR="00440E18" w:rsidRPr="008C17FB" w:rsidRDefault="003E7B52" w:rsidP="00F52B72">
      <w:pPr>
        <w:pStyle w:val="1"/>
        <w:numPr>
          <w:ilvl w:val="0"/>
          <w:numId w:val="2"/>
        </w:numPr>
        <w:spacing w:before="0" w:after="0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2" w:name="_Toc309840749"/>
      <w:r w:rsidRPr="008C17FB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52"/>
    </w:p>
    <w:p w:rsidR="00F16F9A" w:rsidRPr="008C17FB" w:rsidRDefault="00F16F9A" w:rsidP="00F16F9A">
      <w:pPr>
        <w:rPr>
          <w:color w:val="000000" w:themeColor="text1"/>
        </w:rPr>
      </w:pPr>
    </w:p>
    <w:p w:rsidR="008A3B7A" w:rsidRPr="008C17FB" w:rsidRDefault="008A3B7A" w:rsidP="00E83705">
      <w:pPr>
        <w:ind w:firstLine="708"/>
        <w:jc w:val="both"/>
        <w:rPr>
          <w:color w:val="000000" w:themeColor="text1"/>
        </w:rPr>
      </w:pPr>
      <w:r w:rsidRPr="008C17FB">
        <w:rPr>
          <w:color w:val="000000" w:themeColor="text1"/>
        </w:rPr>
        <w:t>Реализация инвестиционного проекта позволит</w:t>
      </w:r>
      <w:r w:rsidR="008E14DB" w:rsidRPr="008C17FB">
        <w:rPr>
          <w:color w:val="000000" w:themeColor="text1"/>
        </w:rPr>
        <w:t xml:space="preserve"> </w:t>
      </w:r>
      <w:r w:rsidRPr="008C17FB">
        <w:rPr>
          <w:color w:val="000000" w:themeColor="text1"/>
        </w:rPr>
        <w:t>обеспечить:</w:t>
      </w:r>
    </w:p>
    <w:p w:rsidR="00A078AD" w:rsidRPr="008C17FB" w:rsidRDefault="008A3B7A" w:rsidP="00E83705">
      <w:pPr>
        <w:jc w:val="both"/>
        <w:rPr>
          <w:color w:val="000000" w:themeColor="text1"/>
        </w:rPr>
      </w:pPr>
      <w:r w:rsidRPr="008C17FB">
        <w:rPr>
          <w:color w:val="000000" w:themeColor="text1"/>
        </w:rPr>
        <w:t xml:space="preserve">- выполнение мероприятий по технологическому присоединению к электрическим сетям </w:t>
      </w:r>
      <w:r w:rsidR="00992269" w:rsidRPr="008C17FB">
        <w:rPr>
          <w:color w:val="000000" w:themeColor="text1"/>
        </w:rPr>
        <w:t>объектов Чемпионата мира ФИФА в г.Калининграде</w:t>
      </w:r>
      <w:r w:rsidRPr="008C17FB">
        <w:rPr>
          <w:color w:val="000000" w:themeColor="text1"/>
        </w:rPr>
        <w:t>;</w:t>
      </w:r>
    </w:p>
    <w:p w:rsidR="008A3B7A" w:rsidRPr="008C17FB" w:rsidRDefault="008A3B7A" w:rsidP="00E83705">
      <w:pPr>
        <w:jc w:val="both"/>
        <w:rPr>
          <w:color w:val="000000" w:themeColor="text1"/>
        </w:rPr>
      </w:pPr>
      <w:r w:rsidRPr="008C17FB">
        <w:rPr>
          <w:color w:val="000000" w:themeColor="text1"/>
        </w:rPr>
        <w:t>- перспективное развитие электрохозяйства</w:t>
      </w:r>
      <w:r w:rsidR="00992269" w:rsidRPr="008C17FB">
        <w:rPr>
          <w:color w:val="000000" w:themeColor="text1"/>
        </w:rPr>
        <w:t xml:space="preserve"> г. Калининграда и прилежащих районов.</w:t>
      </w:r>
    </w:p>
    <w:p w:rsidR="007554E4" w:rsidRPr="008C17FB" w:rsidRDefault="007554E4" w:rsidP="00E83705">
      <w:pPr>
        <w:rPr>
          <w:color w:val="000000" w:themeColor="text1"/>
        </w:rPr>
      </w:pPr>
    </w:p>
    <w:p w:rsidR="007554E4" w:rsidRPr="008C17FB" w:rsidRDefault="00EB458E" w:rsidP="00645DDF">
      <w:pPr>
        <w:ind w:firstLine="709"/>
        <w:jc w:val="both"/>
        <w:rPr>
          <w:color w:val="000000" w:themeColor="text1"/>
        </w:rPr>
      </w:pPr>
      <w:r w:rsidRPr="008C17FB">
        <w:rPr>
          <w:color w:val="000000" w:themeColor="text1"/>
        </w:rPr>
        <w:t>Инвестиционный проект имеет также социальное значение, т.к. он обеспечивает создание новых рабочих мест (при создании новых и расширении имеющихся промышленных и торговых предприятий) и улучшает условия жизни населения за счет стабильного электроснабжения.</w:t>
      </w:r>
    </w:p>
    <w:sectPr w:rsidR="007554E4" w:rsidRPr="008C17FB" w:rsidSect="00BB477B">
      <w:footerReference w:type="default" r:id="rId20"/>
      <w:pgSz w:w="11906" w:h="16838"/>
      <w:pgMar w:top="1134" w:right="851" w:bottom="1134" w:left="1134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8E0" w:rsidRDefault="007338E0" w:rsidP="00A26489">
      <w:r>
        <w:separator/>
      </w:r>
    </w:p>
  </w:endnote>
  <w:endnote w:type="continuationSeparator" w:id="0">
    <w:p w:rsidR="007338E0" w:rsidRDefault="007338E0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74"/>
      <w:gridCol w:w="817"/>
      <w:gridCol w:w="4280"/>
    </w:tblGrid>
    <w:tr w:rsidR="00FD6E33" w:rsidRPr="009B0310" w:rsidTr="002E59DA">
      <w:trPr>
        <w:jc w:val="center"/>
      </w:trPr>
      <w:tc>
        <w:tcPr>
          <w:tcW w:w="4474" w:type="dxa"/>
          <w:tcBorders>
            <w:top w:val="single" w:sz="4" w:space="0" w:color="auto"/>
          </w:tcBorders>
        </w:tcPr>
        <w:p w:rsidR="00FD6E33" w:rsidRDefault="00FD6E33" w:rsidP="002E59DA">
          <w:pPr>
            <w:rPr>
              <w:rStyle w:val="af4"/>
            </w:rPr>
          </w:pPr>
        </w:p>
      </w:tc>
      <w:tc>
        <w:tcPr>
          <w:tcW w:w="817" w:type="dxa"/>
          <w:tcBorders>
            <w:top w:val="single" w:sz="4" w:space="0" w:color="auto"/>
          </w:tcBorders>
          <w:vAlign w:val="center"/>
        </w:tcPr>
        <w:p w:rsidR="00FD6E33" w:rsidRPr="00766151" w:rsidRDefault="00FD6E33" w:rsidP="002E59DA">
          <w:pPr>
            <w:jc w:val="center"/>
            <w:rPr>
              <w:rStyle w:val="af4"/>
            </w:rPr>
          </w:pPr>
          <w:r w:rsidRPr="00766151">
            <w:rPr>
              <w:rStyle w:val="af4"/>
            </w:rPr>
            <w:fldChar w:fldCharType="begin"/>
          </w:r>
          <w:r w:rsidRPr="00766151">
            <w:rPr>
              <w:rStyle w:val="af4"/>
            </w:rPr>
            <w:instrText xml:space="preserve"> PAGE </w:instrText>
          </w:r>
          <w:r w:rsidRPr="00766151">
            <w:rPr>
              <w:rStyle w:val="af4"/>
            </w:rPr>
            <w:fldChar w:fldCharType="separate"/>
          </w:r>
          <w:r w:rsidR="00E4404A">
            <w:rPr>
              <w:rStyle w:val="af4"/>
              <w:noProof/>
            </w:rPr>
            <w:t>13</w:t>
          </w:r>
          <w:r w:rsidRPr="00766151">
            <w:rPr>
              <w:rStyle w:val="af4"/>
            </w:rPr>
            <w:fldChar w:fldCharType="end"/>
          </w:r>
        </w:p>
      </w:tc>
      <w:tc>
        <w:tcPr>
          <w:tcW w:w="4280" w:type="dxa"/>
          <w:tcBorders>
            <w:top w:val="single" w:sz="4" w:space="0" w:color="auto"/>
          </w:tcBorders>
        </w:tcPr>
        <w:p w:rsidR="00FD6E33" w:rsidRPr="00E46D0E" w:rsidRDefault="00FD6E33" w:rsidP="002E59DA">
          <w:pPr>
            <w:spacing w:before="120"/>
            <w:jc w:val="right"/>
            <w:rPr>
              <w:rStyle w:val="af4"/>
              <w:b/>
            </w:rPr>
          </w:pPr>
        </w:p>
      </w:tc>
    </w:tr>
  </w:tbl>
  <w:p w:rsidR="00FD6E33" w:rsidRPr="002E59DA" w:rsidRDefault="00FD6E33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8E0" w:rsidRDefault="007338E0" w:rsidP="00A26489">
      <w:r>
        <w:separator/>
      </w:r>
    </w:p>
  </w:footnote>
  <w:footnote w:type="continuationSeparator" w:id="0">
    <w:p w:rsidR="007338E0" w:rsidRDefault="007338E0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9" w15:restartNumberingAfterBreak="0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8E7D25"/>
    <w:multiLevelType w:val="hybridMultilevel"/>
    <w:tmpl w:val="8EA835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19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0"/>
  </w:num>
  <w:num w:numId="12">
    <w:abstractNumId w:val="5"/>
  </w:num>
  <w:num w:numId="13">
    <w:abstractNumId w:val="20"/>
  </w:num>
  <w:num w:numId="14">
    <w:abstractNumId w:val="0"/>
  </w:num>
  <w:num w:numId="15">
    <w:abstractNumId w:val="4"/>
  </w:num>
  <w:num w:numId="16">
    <w:abstractNumId w:val="18"/>
  </w:num>
  <w:num w:numId="17">
    <w:abstractNumId w:val="15"/>
  </w:num>
  <w:num w:numId="18">
    <w:abstractNumId w:va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3"/>
  </w:num>
  <w:num w:numId="23">
    <w:abstractNumId w:val="17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A7D"/>
    <w:rsid w:val="000008EC"/>
    <w:rsid w:val="000070B7"/>
    <w:rsid w:val="00007A4C"/>
    <w:rsid w:val="0001190F"/>
    <w:rsid w:val="000138AA"/>
    <w:rsid w:val="000140B5"/>
    <w:rsid w:val="000152BE"/>
    <w:rsid w:val="000156B9"/>
    <w:rsid w:val="0001575D"/>
    <w:rsid w:val="0001705D"/>
    <w:rsid w:val="0002171F"/>
    <w:rsid w:val="000224F7"/>
    <w:rsid w:val="00022611"/>
    <w:rsid w:val="00023C89"/>
    <w:rsid w:val="00026609"/>
    <w:rsid w:val="00026C93"/>
    <w:rsid w:val="000273FB"/>
    <w:rsid w:val="0003128E"/>
    <w:rsid w:val="000322E8"/>
    <w:rsid w:val="00032B42"/>
    <w:rsid w:val="000354A3"/>
    <w:rsid w:val="0003637A"/>
    <w:rsid w:val="00040ADD"/>
    <w:rsid w:val="00041B65"/>
    <w:rsid w:val="00042BEE"/>
    <w:rsid w:val="00043AB5"/>
    <w:rsid w:val="00044E31"/>
    <w:rsid w:val="00050533"/>
    <w:rsid w:val="00050CAC"/>
    <w:rsid w:val="00051636"/>
    <w:rsid w:val="000518B8"/>
    <w:rsid w:val="000527A8"/>
    <w:rsid w:val="000542B0"/>
    <w:rsid w:val="00055395"/>
    <w:rsid w:val="0005539A"/>
    <w:rsid w:val="000556AD"/>
    <w:rsid w:val="00055A8C"/>
    <w:rsid w:val="00055F85"/>
    <w:rsid w:val="00056536"/>
    <w:rsid w:val="00056E90"/>
    <w:rsid w:val="00057385"/>
    <w:rsid w:val="000604B3"/>
    <w:rsid w:val="00060BE9"/>
    <w:rsid w:val="00063499"/>
    <w:rsid w:val="0006355E"/>
    <w:rsid w:val="00065650"/>
    <w:rsid w:val="00066907"/>
    <w:rsid w:val="00066F0F"/>
    <w:rsid w:val="00070D42"/>
    <w:rsid w:val="00071F62"/>
    <w:rsid w:val="00073E85"/>
    <w:rsid w:val="00075CE6"/>
    <w:rsid w:val="00080815"/>
    <w:rsid w:val="0008178A"/>
    <w:rsid w:val="00083906"/>
    <w:rsid w:val="0008485B"/>
    <w:rsid w:val="000858EF"/>
    <w:rsid w:val="00091AC3"/>
    <w:rsid w:val="00096E94"/>
    <w:rsid w:val="000A3DDE"/>
    <w:rsid w:val="000A480C"/>
    <w:rsid w:val="000A6B9D"/>
    <w:rsid w:val="000A784D"/>
    <w:rsid w:val="000B19E0"/>
    <w:rsid w:val="000B57CE"/>
    <w:rsid w:val="000C1ADD"/>
    <w:rsid w:val="000C4805"/>
    <w:rsid w:val="000C64E0"/>
    <w:rsid w:val="000C6664"/>
    <w:rsid w:val="000C6851"/>
    <w:rsid w:val="000D18CD"/>
    <w:rsid w:val="000D6FAF"/>
    <w:rsid w:val="000E0278"/>
    <w:rsid w:val="000E02BC"/>
    <w:rsid w:val="000E122C"/>
    <w:rsid w:val="000E1AC6"/>
    <w:rsid w:val="000E2E9E"/>
    <w:rsid w:val="000E4B29"/>
    <w:rsid w:val="000E6A51"/>
    <w:rsid w:val="000E7021"/>
    <w:rsid w:val="000E7376"/>
    <w:rsid w:val="000F4B3C"/>
    <w:rsid w:val="00101780"/>
    <w:rsid w:val="00102A47"/>
    <w:rsid w:val="00105FA9"/>
    <w:rsid w:val="00110D6B"/>
    <w:rsid w:val="00120AE2"/>
    <w:rsid w:val="00122754"/>
    <w:rsid w:val="00122C5F"/>
    <w:rsid w:val="00122CF8"/>
    <w:rsid w:val="00123B5F"/>
    <w:rsid w:val="00127DD0"/>
    <w:rsid w:val="00130FBA"/>
    <w:rsid w:val="00131E63"/>
    <w:rsid w:val="0013210F"/>
    <w:rsid w:val="00133F2F"/>
    <w:rsid w:val="00134885"/>
    <w:rsid w:val="00137021"/>
    <w:rsid w:val="0013756C"/>
    <w:rsid w:val="00137CCD"/>
    <w:rsid w:val="0014275C"/>
    <w:rsid w:val="00144A70"/>
    <w:rsid w:val="00145944"/>
    <w:rsid w:val="0014673A"/>
    <w:rsid w:val="00150A87"/>
    <w:rsid w:val="00152142"/>
    <w:rsid w:val="00154509"/>
    <w:rsid w:val="00156AF4"/>
    <w:rsid w:val="001575E2"/>
    <w:rsid w:val="001624A7"/>
    <w:rsid w:val="00163CE6"/>
    <w:rsid w:val="001658F9"/>
    <w:rsid w:val="00166849"/>
    <w:rsid w:val="00180647"/>
    <w:rsid w:val="00180985"/>
    <w:rsid w:val="00180DBC"/>
    <w:rsid w:val="0018107D"/>
    <w:rsid w:val="0018142D"/>
    <w:rsid w:val="001822F7"/>
    <w:rsid w:val="001847DC"/>
    <w:rsid w:val="00186748"/>
    <w:rsid w:val="00187070"/>
    <w:rsid w:val="001A1E5E"/>
    <w:rsid w:val="001A52D3"/>
    <w:rsid w:val="001B27C7"/>
    <w:rsid w:val="001B3FA4"/>
    <w:rsid w:val="001C07A3"/>
    <w:rsid w:val="001C26CC"/>
    <w:rsid w:val="001C3E89"/>
    <w:rsid w:val="001C4B87"/>
    <w:rsid w:val="001D28BB"/>
    <w:rsid w:val="001D2938"/>
    <w:rsid w:val="001D4BB9"/>
    <w:rsid w:val="001D7F1E"/>
    <w:rsid w:val="001E11F1"/>
    <w:rsid w:val="001E21C5"/>
    <w:rsid w:val="001E50BE"/>
    <w:rsid w:val="001E53C8"/>
    <w:rsid w:val="001E5722"/>
    <w:rsid w:val="001F27FE"/>
    <w:rsid w:val="001F4783"/>
    <w:rsid w:val="001F644D"/>
    <w:rsid w:val="001F6C60"/>
    <w:rsid w:val="001F7E71"/>
    <w:rsid w:val="002000E0"/>
    <w:rsid w:val="00204140"/>
    <w:rsid w:val="00207658"/>
    <w:rsid w:val="0021028B"/>
    <w:rsid w:val="002108AC"/>
    <w:rsid w:val="00215E12"/>
    <w:rsid w:val="00216C4A"/>
    <w:rsid w:val="002201FA"/>
    <w:rsid w:val="0022071C"/>
    <w:rsid w:val="00226C4C"/>
    <w:rsid w:val="002315E5"/>
    <w:rsid w:val="002316F1"/>
    <w:rsid w:val="00231B5B"/>
    <w:rsid w:val="002336DC"/>
    <w:rsid w:val="00236318"/>
    <w:rsid w:val="002414DE"/>
    <w:rsid w:val="00244366"/>
    <w:rsid w:val="00244596"/>
    <w:rsid w:val="002452ED"/>
    <w:rsid w:val="002460A8"/>
    <w:rsid w:val="00246401"/>
    <w:rsid w:val="00246BF5"/>
    <w:rsid w:val="002512E0"/>
    <w:rsid w:val="00252071"/>
    <w:rsid w:val="00252E3A"/>
    <w:rsid w:val="002549A8"/>
    <w:rsid w:val="002566A7"/>
    <w:rsid w:val="00257E2F"/>
    <w:rsid w:val="0026021C"/>
    <w:rsid w:val="00262520"/>
    <w:rsid w:val="002630A6"/>
    <w:rsid w:val="002642A5"/>
    <w:rsid w:val="00264695"/>
    <w:rsid w:val="00264C1E"/>
    <w:rsid w:val="00264F80"/>
    <w:rsid w:val="002666ED"/>
    <w:rsid w:val="0027388A"/>
    <w:rsid w:val="002764AA"/>
    <w:rsid w:val="00280129"/>
    <w:rsid w:val="002872D9"/>
    <w:rsid w:val="00292066"/>
    <w:rsid w:val="002A179F"/>
    <w:rsid w:val="002A370E"/>
    <w:rsid w:val="002A4DAD"/>
    <w:rsid w:val="002A58F6"/>
    <w:rsid w:val="002A6066"/>
    <w:rsid w:val="002B2C24"/>
    <w:rsid w:val="002C2798"/>
    <w:rsid w:val="002C5400"/>
    <w:rsid w:val="002C614C"/>
    <w:rsid w:val="002C70C8"/>
    <w:rsid w:val="002C7344"/>
    <w:rsid w:val="002D10AC"/>
    <w:rsid w:val="002D2F03"/>
    <w:rsid w:val="002D39F0"/>
    <w:rsid w:val="002D76D6"/>
    <w:rsid w:val="002D7949"/>
    <w:rsid w:val="002E06AE"/>
    <w:rsid w:val="002E075E"/>
    <w:rsid w:val="002E0D42"/>
    <w:rsid w:val="002E19AA"/>
    <w:rsid w:val="002E24A6"/>
    <w:rsid w:val="002E31F0"/>
    <w:rsid w:val="002E59DA"/>
    <w:rsid w:val="002F0077"/>
    <w:rsid w:val="002F1792"/>
    <w:rsid w:val="002F426F"/>
    <w:rsid w:val="002F62DB"/>
    <w:rsid w:val="00301FBC"/>
    <w:rsid w:val="00302F02"/>
    <w:rsid w:val="00305CD7"/>
    <w:rsid w:val="00310A44"/>
    <w:rsid w:val="00310E63"/>
    <w:rsid w:val="00311C66"/>
    <w:rsid w:val="003127BF"/>
    <w:rsid w:val="00313794"/>
    <w:rsid w:val="003146DA"/>
    <w:rsid w:val="00317455"/>
    <w:rsid w:val="00317C60"/>
    <w:rsid w:val="00317EB8"/>
    <w:rsid w:val="00320CA6"/>
    <w:rsid w:val="003211D9"/>
    <w:rsid w:val="0032158A"/>
    <w:rsid w:val="003233B2"/>
    <w:rsid w:val="00325983"/>
    <w:rsid w:val="0033247F"/>
    <w:rsid w:val="003327F5"/>
    <w:rsid w:val="00334FE9"/>
    <w:rsid w:val="00342A47"/>
    <w:rsid w:val="003430BB"/>
    <w:rsid w:val="003453D4"/>
    <w:rsid w:val="003455D6"/>
    <w:rsid w:val="00347C97"/>
    <w:rsid w:val="00350677"/>
    <w:rsid w:val="003506BF"/>
    <w:rsid w:val="00350965"/>
    <w:rsid w:val="00353E04"/>
    <w:rsid w:val="003549D5"/>
    <w:rsid w:val="00354D56"/>
    <w:rsid w:val="00355E8E"/>
    <w:rsid w:val="00361A0A"/>
    <w:rsid w:val="0036281B"/>
    <w:rsid w:val="003645C9"/>
    <w:rsid w:val="00366948"/>
    <w:rsid w:val="00366A46"/>
    <w:rsid w:val="0036719B"/>
    <w:rsid w:val="0037159A"/>
    <w:rsid w:val="00375D26"/>
    <w:rsid w:val="00376597"/>
    <w:rsid w:val="00381CE3"/>
    <w:rsid w:val="0038201C"/>
    <w:rsid w:val="003831F7"/>
    <w:rsid w:val="0038336E"/>
    <w:rsid w:val="00385D7D"/>
    <w:rsid w:val="0039035F"/>
    <w:rsid w:val="00390878"/>
    <w:rsid w:val="0039786F"/>
    <w:rsid w:val="003A1EA5"/>
    <w:rsid w:val="003A35FA"/>
    <w:rsid w:val="003A4B34"/>
    <w:rsid w:val="003A7E1B"/>
    <w:rsid w:val="003B2B65"/>
    <w:rsid w:val="003B4760"/>
    <w:rsid w:val="003B7199"/>
    <w:rsid w:val="003C21E6"/>
    <w:rsid w:val="003C322A"/>
    <w:rsid w:val="003C73D2"/>
    <w:rsid w:val="003D2058"/>
    <w:rsid w:val="003D2B9B"/>
    <w:rsid w:val="003D462F"/>
    <w:rsid w:val="003D4F41"/>
    <w:rsid w:val="003D575C"/>
    <w:rsid w:val="003D7632"/>
    <w:rsid w:val="003D7835"/>
    <w:rsid w:val="003D7E2B"/>
    <w:rsid w:val="003E0184"/>
    <w:rsid w:val="003E145C"/>
    <w:rsid w:val="003E3D1D"/>
    <w:rsid w:val="003E4225"/>
    <w:rsid w:val="003E5217"/>
    <w:rsid w:val="003E5FDE"/>
    <w:rsid w:val="003E7144"/>
    <w:rsid w:val="003E7B52"/>
    <w:rsid w:val="003F197A"/>
    <w:rsid w:val="003F1EBF"/>
    <w:rsid w:val="003F42B9"/>
    <w:rsid w:val="003F5740"/>
    <w:rsid w:val="003F689E"/>
    <w:rsid w:val="00401D7E"/>
    <w:rsid w:val="004033C6"/>
    <w:rsid w:val="00404AA5"/>
    <w:rsid w:val="00404CD6"/>
    <w:rsid w:val="0040597F"/>
    <w:rsid w:val="004070DD"/>
    <w:rsid w:val="0041171B"/>
    <w:rsid w:val="004126F9"/>
    <w:rsid w:val="0042141E"/>
    <w:rsid w:val="004214AF"/>
    <w:rsid w:val="00422145"/>
    <w:rsid w:val="00423D93"/>
    <w:rsid w:val="00427CCA"/>
    <w:rsid w:val="00435B6F"/>
    <w:rsid w:val="00435C32"/>
    <w:rsid w:val="00440B4B"/>
    <w:rsid w:val="00440E18"/>
    <w:rsid w:val="00442CDC"/>
    <w:rsid w:val="00444A5A"/>
    <w:rsid w:val="00445E94"/>
    <w:rsid w:val="004472EB"/>
    <w:rsid w:val="0045322C"/>
    <w:rsid w:val="00454B20"/>
    <w:rsid w:val="00456EBB"/>
    <w:rsid w:val="0046152A"/>
    <w:rsid w:val="00467C2A"/>
    <w:rsid w:val="00473DD7"/>
    <w:rsid w:val="00476F36"/>
    <w:rsid w:val="004773DA"/>
    <w:rsid w:val="00481E26"/>
    <w:rsid w:val="00486716"/>
    <w:rsid w:val="00487B59"/>
    <w:rsid w:val="00490EEE"/>
    <w:rsid w:val="00492C6E"/>
    <w:rsid w:val="00496E1B"/>
    <w:rsid w:val="004972EC"/>
    <w:rsid w:val="0049770C"/>
    <w:rsid w:val="004A0465"/>
    <w:rsid w:val="004A3266"/>
    <w:rsid w:val="004A41F6"/>
    <w:rsid w:val="004A50D2"/>
    <w:rsid w:val="004A6AF0"/>
    <w:rsid w:val="004A71CA"/>
    <w:rsid w:val="004B2A0D"/>
    <w:rsid w:val="004B30D9"/>
    <w:rsid w:val="004B3D49"/>
    <w:rsid w:val="004B53B0"/>
    <w:rsid w:val="004B5BCE"/>
    <w:rsid w:val="004B77F9"/>
    <w:rsid w:val="004C58A8"/>
    <w:rsid w:val="004D03AF"/>
    <w:rsid w:val="004D3E2F"/>
    <w:rsid w:val="004D4D78"/>
    <w:rsid w:val="004D5055"/>
    <w:rsid w:val="004E215E"/>
    <w:rsid w:val="004E5789"/>
    <w:rsid w:val="004E57F2"/>
    <w:rsid w:val="004F1B1F"/>
    <w:rsid w:val="004F3554"/>
    <w:rsid w:val="004F3F88"/>
    <w:rsid w:val="004F4697"/>
    <w:rsid w:val="00500018"/>
    <w:rsid w:val="005051A6"/>
    <w:rsid w:val="00506905"/>
    <w:rsid w:val="00510896"/>
    <w:rsid w:val="005134D5"/>
    <w:rsid w:val="0051396D"/>
    <w:rsid w:val="00515C42"/>
    <w:rsid w:val="00517829"/>
    <w:rsid w:val="00520902"/>
    <w:rsid w:val="00522593"/>
    <w:rsid w:val="00524485"/>
    <w:rsid w:val="005273DF"/>
    <w:rsid w:val="005328D2"/>
    <w:rsid w:val="00534297"/>
    <w:rsid w:val="00535930"/>
    <w:rsid w:val="0053699A"/>
    <w:rsid w:val="00537E66"/>
    <w:rsid w:val="005409B2"/>
    <w:rsid w:val="00543A82"/>
    <w:rsid w:val="00545CE9"/>
    <w:rsid w:val="00545E89"/>
    <w:rsid w:val="005509A6"/>
    <w:rsid w:val="005537DA"/>
    <w:rsid w:val="00553AE8"/>
    <w:rsid w:val="00555CB4"/>
    <w:rsid w:val="00556CA4"/>
    <w:rsid w:val="00561AF8"/>
    <w:rsid w:val="00565492"/>
    <w:rsid w:val="0056754D"/>
    <w:rsid w:val="00580C6F"/>
    <w:rsid w:val="00580E4D"/>
    <w:rsid w:val="00580EE0"/>
    <w:rsid w:val="00581D33"/>
    <w:rsid w:val="0058431C"/>
    <w:rsid w:val="0058593D"/>
    <w:rsid w:val="00593340"/>
    <w:rsid w:val="00596280"/>
    <w:rsid w:val="00596861"/>
    <w:rsid w:val="00596869"/>
    <w:rsid w:val="00597465"/>
    <w:rsid w:val="005A418F"/>
    <w:rsid w:val="005A5C99"/>
    <w:rsid w:val="005A6046"/>
    <w:rsid w:val="005B0279"/>
    <w:rsid w:val="005B1BBC"/>
    <w:rsid w:val="005B39E2"/>
    <w:rsid w:val="005B3C9F"/>
    <w:rsid w:val="005B44FD"/>
    <w:rsid w:val="005C009C"/>
    <w:rsid w:val="005C4113"/>
    <w:rsid w:val="005C7B59"/>
    <w:rsid w:val="005D1EA6"/>
    <w:rsid w:val="005D22BB"/>
    <w:rsid w:val="005D2BF4"/>
    <w:rsid w:val="005D3688"/>
    <w:rsid w:val="005E0E3C"/>
    <w:rsid w:val="005E1C56"/>
    <w:rsid w:val="005E34B6"/>
    <w:rsid w:val="005E414D"/>
    <w:rsid w:val="005E5979"/>
    <w:rsid w:val="005F0970"/>
    <w:rsid w:val="005F2A99"/>
    <w:rsid w:val="005F3600"/>
    <w:rsid w:val="005F383C"/>
    <w:rsid w:val="005F45AD"/>
    <w:rsid w:val="005F72DB"/>
    <w:rsid w:val="00602BB9"/>
    <w:rsid w:val="00605325"/>
    <w:rsid w:val="00612A55"/>
    <w:rsid w:val="00613233"/>
    <w:rsid w:val="0061743F"/>
    <w:rsid w:val="00623686"/>
    <w:rsid w:val="00625E5D"/>
    <w:rsid w:val="0062621A"/>
    <w:rsid w:val="006320B2"/>
    <w:rsid w:val="00632754"/>
    <w:rsid w:val="00632EB7"/>
    <w:rsid w:val="00635688"/>
    <w:rsid w:val="00636BE7"/>
    <w:rsid w:val="00636DAA"/>
    <w:rsid w:val="00643926"/>
    <w:rsid w:val="00645A93"/>
    <w:rsid w:val="00645DDF"/>
    <w:rsid w:val="00657A8B"/>
    <w:rsid w:val="00660F72"/>
    <w:rsid w:val="0066218D"/>
    <w:rsid w:val="00665DB0"/>
    <w:rsid w:val="0066784F"/>
    <w:rsid w:val="00667ADF"/>
    <w:rsid w:val="006712F3"/>
    <w:rsid w:val="0067257C"/>
    <w:rsid w:val="00674FF9"/>
    <w:rsid w:val="00677014"/>
    <w:rsid w:val="00680CC7"/>
    <w:rsid w:val="006862B3"/>
    <w:rsid w:val="00690A0C"/>
    <w:rsid w:val="00691624"/>
    <w:rsid w:val="0069177C"/>
    <w:rsid w:val="00691E39"/>
    <w:rsid w:val="00691FA4"/>
    <w:rsid w:val="00694BC2"/>
    <w:rsid w:val="00697CBE"/>
    <w:rsid w:val="006A0345"/>
    <w:rsid w:val="006A0514"/>
    <w:rsid w:val="006A4C1A"/>
    <w:rsid w:val="006A6932"/>
    <w:rsid w:val="006B075F"/>
    <w:rsid w:val="006B17F4"/>
    <w:rsid w:val="006B2102"/>
    <w:rsid w:val="006B4AAA"/>
    <w:rsid w:val="006C113F"/>
    <w:rsid w:val="006C3B71"/>
    <w:rsid w:val="006C58BF"/>
    <w:rsid w:val="006C6441"/>
    <w:rsid w:val="006C7765"/>
    <w:rsid w:val="006C7A21"/>
    <w:rsid w:val="006D087B"/>
    <w:rsid w:val="006D1297"/>
    <w:rsid w:val="006D1A2E"/>
    <w:rsid w:val="006D44C4"/>
    <w:rsid w:val="006D7C09"/>
    <w:rsid w:val="006D7C22"/>
    <w:rsid w:val="006E2231"/>
    <w:rsid w:val="006E4B3A"/>
    <w:rsid w:val="006E6935"/>
    <w:rsid w:val="006F147F"/>
    <w:rsid w:val="006F18D3"/>
    <w:rsid w:val="006F1A85"/>
    <w:rsid w:val="006F1C69"/>
    <w:rsid w:val="006F1D6D"/>
    <w:rsid w:val="006F57C4"/>
    <w:rsid w:val="006F5DE8"/>
    <w:rsid w:val="006F6825"/>
    <w:rsid w:val="006F6E36"/>
    <w:rsid w:val="006F7509"/>
    <w:rsid w:val="00700753"/>
    <w:rsid w:val="00702052"/>
    <w:rsid w:val="00703B49"/>
    <w:rsid w:val="00705072"/>
    <w:rsid w:val="00705820"/>
    <w:rsid w:val="00711431"/>
    <w:rsid w:val="00711BA1"/>
    <w:rsid w:val="00713732"/>
    <w:rsid w:val="007142C1"/>
    <w:rsid w:val="00716CF8"/>
    <w:rsid w:val="00717463"/>
    <w:rsid w:val="00721009"/>
    <w:rsid w:val="00721AC4"/>
    <w:rsid w:val="00724899"/>
    <w:rsid w:val="00726587"/>
    <w:rsid w:val="007309A0"/>
    <w:rsid w:val="00730E9E"/>
    <w:rsid w:val="007324EC"/>
    <w:rsid w:val="0073271C"/>
    <w:rsid w:val="007330FD"/>
    <w:rsid w:val="0073333A"/>
    <w:rsid w:val="007338E0"/>
    <w:rsid w:val="00740EE5"/>
    <w:rsid w:val="00741992"/>
    <w:rsid w:val="00742C4F"/>
    <w:rsid w:val="007448C5"/>
    <w:rsid w:val="00744A59"/>
    <w:rsid w:val="00744C7E"/>
    <w:rsid w:val="007504EC"/>
    <w:rsid w:val="0075063C"/>
    <w:rsid w:val="00752F17"/>
    <w:rsid w:val="007536A8"/>
    <w:rsid w:val="007539CB"/>
    <w:rsid w:val="00753D58"/>
    <w:rsid w:val="00755076"/>
    <w:rsid w:val="007554E4"/>
    <w:rsid w:val="00757E08"/>
    <w:rsid w:val="00760A65"/>
    <w:rsid w:val="00760D7F"/>
    <w:rsid w:val="00762B0A"/>
    <w:rsid w:val="0076592B"/>
    <w:rsid w:val="0076615E"/>
    <w:rsid w:val="00767281"/>
    <w:rsid w:val="00767C72"/>
    <w:rsid w:val="007721D4"/>
    <w:rsid w:val="007727EF"/>
    <w:rsid w:val="007731A9"/>
    <w:rsid w:val="00773A2B"/>
    <w:rsid w:val="00773E3D"/>
    <w:rsid w:val="00774D75"/>
    <w:rsid w:val="007752C5"/>
    <w:rsid w:val="00775A77"/>
    <w:rsid w:val="00775E4B"/>
    <w:rsid w:val="00775F6F"/>
    <w:rsid w:val="0079055E"/>
    <w:rsid w:val="007906E9"/>
    <w:rsid w:val="0079187A"/>
    <w:rsid w:val="0079436E"/>
    <w:rsid w:val="00796563"/>
    <w:rsid w:val="00796864"/>
    <w:rsid w:val="00796EA7"/>
    <w:rsid w:val="00797C49"/>
    <w:rsid w:val="007A2D70"/>
    <w:rsid w:val="007A37C3"/>
    <w:rsid w:val="007A7453"/>
    <w:rsid w:val="007B0F71"/>
    <w:rsid w:val="007B10E1"/>
    <w:rsid w:val="007B1768"/>
    <w:rsid w:val="007B269B"/>
    <w:rsid w:val="007B483A"/>
    <w:rsid w:val="007B6107"/>
    <w:rsid w:val="007B68A1"/>
    <w:rsid w:val="007B7705"/>
    <w:rsid w:val="007B7FD3"/>
    <w:rsid w:val="007C099C"/>
    <w:rsid w:val="007C0B26"/>
    <w:rsid w:val="007C0B5F"/>
    <w:rsid w:val="007C2DF1"/>
    <w:rsid w:val="007C4628"/>
    <w:rsid w:val="007D5D82"/>
    <w:rsid w:val="007D76CF"/>
    <w:rsid w:val="007D7D1D"/>
    <w:rsid w:val="007E058D"/>
    <w:rsid w:val="007E0950"/>
    <w:rsid w:val="007E4789"/>
    <w:rsid w:val="007E7C41"/>
    <w:rsid w:val="007F0B19"/>
    <w:rsid w:val="007F1BD8"/>
    <w:rsid w:val="007F2E51"/>
    <w:rsid w:val="007F31F5"/>
    <w:rsid w:val="007F4D23"/>
    <w:rsid w:val="007F562B"/>
    <w:rsid w:val="007F5E38"/>
    <w:rsid w:val="007F6937"/>
    <w:rsid w:val="007F7392"/>
    <w:rsid w:val="0080113B"/>
    <w:rsid w:val="00802E49"/>
    <w:rsid w:val="00803CAD"/>
    <w:rsid w:val="00807F0B"/>
    <w:rsid w:val="00810D7A"/>
    <w:rsid w:val="00812F7E"/>
    <w:rsid w:val="008145E9"/>
    <w:rsid w:val="008202ED"/>
    <w:rsid w:val="00820DD9"/>
    <w:rsid w:val="008214DF"/>
    <w:rsid w:val="008304AD"/>
    <w:rsid w:val="00831246"/>
    <w:rsid w:val="00836F0A"/>
    <w:rsid w:val="00837309"/>
    <w:rsid w:val="00837D11"/>
    <w:rsid w:val="008429E8"/>
    <w:rsid w:val="00842B5C"/>
    <w:rsid w:val="008527DA"/>
    <w:rsid w:val="008527E0"/>
    <w:rsid w:val="00856AEB"/>
    <w:rsid w:val="00856D03"/>
    <w:rsid w:val="00860CC7"/>
    <w:rsid w:val="00863563"/>
    <w:rsid w:val="00864ABD"/>
    <w:rsid w:val="00866087"/>
    <w:rsid w:val="008703EF"/>
    <w:rsid w:val="00871628"/>
    <w:rsid w:val="00871A5E"/>
    <w:rsid w:val="00874C6E"/>
    <w:rsid w:val="00876CD0"/>
    <w:rsid w:val="00880735"/>
    <w:rsid w:val="008822EE"/>
    <w:rsid w:val="00883B37"/>
    <w:rsid w:val="00885BA8"/>
    <w:rsid w:val="00890DC9"/>
    <w:rsid w:val="00891745"/>
    <w:rsid w:val="008921A7"/>
    <w:rsid w:val="00894E28"/>
    <w:rsid w:val="008951F3"/>
    <w:rsid w:val="00895587"/>
    <w:rsid w:val="008968DE"/>
    <w:rsid w:val="008A0DA1"/>
    <w:rsid w:val="008A0E37"/>
    <w:rsid w:val="008A112A"/>
    <w:rsid w:val="008A2B11"/>
    <w:rsid w:val="008A3B7A"/>
    <w:rsid w:val="008A610D"/>
    <w:rsid w:val="008B0CD8"/>
    <w:rsid w:val="008B3196"/>
    <w:rsid w:val="008B31EF"/>
    <w:rsid w:val="008B6F17"/>
    <w:rsid w:val="008B7106"/>
    <w:rsid w:val="008B7900"/>
    <w:rsid w:val="008B7A6C"/>
    <w:rsid w:val="008C0C6C"/>
    <w:rsid w:val="008C17FB"/>
    <w:rsid w:val="008C185F"/>
    <w:rsid w:val="008C3715"/>
    <w:rsid w:val="008C51A0"/>
    <w:rsid w:val="008D1136"/>
    <w:rsid w:val="008D3ED0"/>
    <w:rsid w:val="008E0C72"/>
    <w:rsid w:val="008E14DB"/>
    <w:rsid w:val="008E436A"/>
    <w:rsid w:val="008E455F"/>
    <w:rsid w:val="008E4A1B"/>
    <w:rsid w:val="008E7359"/>
    <w:rsid w:val="008F080D"/>
    <w:rsid w:val="008F0A8E"/>
    <w:rsid w:val="008F1445"/>
    <w:rsid w:val="009016DB"/>
    <w:rsid w:val="009020EB"/>
    <w:rsid w:val="0090262A"/>
    <w:rsid w:val="009062D1"/>
    <w:rsid w:val="009067A4"/>
    <w:rsid w:val="00906A7D"/>
    <w:rsid w:val="00910739"/>
    <w:rsid w:val="00913734"/>
    <w:rsid w:val="00913A3D"/>
    <w:rsid w:val="00915513"/>
    <w:rsid w:val="00917C6F"/>
    <w:rsid w:val="009229B5"/>
    <w:rsid w:val="00925D83"/>
    <w:rsid w:val="00927349"/>
    <w:rsid w:val="00927E1F"/>
    <w:rsid w:val="009303FB"/>
    <w:rsid w:val="00932D94"/>
    <w:rsid w:val="009355EA"/>
    <w:rsid w:val="00943345"/>
    <w:rsid w:val="00943525"/>
    <w:rsid w:val="009436C0"/>
    <w:rsid w:val="009469FB"/>
    <w:rsid w:val="00947DF4"/>
    <w:rsid w:val="0095168B"/>
    <w:rsid w:val="00951704"/>
    <w:rsid w:val="00952A59"/>
    <w:rsid w:val="00953306"/>
    <w:rsid w:val="00955070"/>
    <w:rsid w:val="00955572"/>
    <w:rsid w:val="00970816"/>
    <w:rsid w:val="009732FE"/>
    <w:rsid w:val="00974414"/>
    <w:rsid w:val="00974A17"/>
    <w:rsid w:val="00974FCE"/>
    <w:rsid w:val="00975E60"/>
    <w:rsid w:val="00977B30"/>
    <w:rsid w:val="0098031E"/>
    <w:rsid w:val="00980918"/>
    <w:rsid w:val="00982F40"/>
    <w:rsid w:val="009879AF"/>
    <w:rsid w:val="009900E6"/>
    <w:rsid w:val="00992269"/>
    <w:rsid w:val="00992DCD"/>
    <w:rsid w:val="009942B6"/>
    <w:rsid w:val="009955F9"/>
    <w:rsid w:val="00995949"/>
    <w:rsid w:val="009975F8"/>
    <w:rsid w:val="00997C82"/>
    <w:rsid w:val="009A0D8C"/>
    <w:rsid w:val="009A0DDB"/>
    <w:rsid w:val="009A1F34"/>
    <w:rsid w:val="009A6D3C"/>
    <w:rsid w:val="009A7BBA"/>
    <w:rsid w:val="009B0450"/>
    <w:rsid w:val="009B4969"/>
    <w:rsid w:val="009B5C98"/>
    <w:rsid w:val="009B673B"/>
    <w:rsid w:val="009C0C6B"/>
    <w:rsid w:val="009C6B6A"/>
    <w:rsid w:val="009C76DF"/>
    <w:rsid w:val="009D562E"/>
    <w:rsid w:val="009D6917"/>
    <w:rsid w:val="009D7440"/>
    <w:rsid w:val="009E01E1"/>
    <w:rsid w:val="009E0F4E"/>
    <w:rsid w:val="009E16CC"/>
    <w:rsid w:val="009E59A0"/>
    <w:rsid w:val="009E63F3"/>
    <w:rsid w:val="009E6891"/>
    <w:rsid w:val="009F32F2"/>
    <w:rsid w:val="009F43DB"/>
    <w:rsid w:val="009F7F9E"/>
    <w:rsid w:val="00A00F06"/>
    <w:rsid w:val="00A04156"/>
    <w:rsid w:val="00A078AD"/>
    <w:rsid w:val="00A13C0D"/>
    <w:rsid w:val="00A1509E"/>
    <w:rsid w:val="00A1621E"/>
    <w:rsid w:val="00A22C9B"/>
    <w:rsid w:val="00A26489"/>
    <w:rsid w:val="00A32623"/>
    <w:rsid w:val="00A3451A"/>
    <w:rsid w:val="00A35EC0"/>
    <w:rsid w:val="00A35EC5"/>
    <w:rsid w:val="00A41D90"/>
    <w:rsid w:val="00A42B6B"/>
    <w:rsid w:val="00A447DE"/>
    <w:rsid w:val="00A459A9"/>
    <w:rsid w:val="00A45DEC"/>
    <w:rsid w:val="00A4670E"/>
    <w:rsid w:val="00A475C1"/>
    <w:rsid w:val="00A47B9B"/>
    <w:rsid w:val="00A51B6F"/>
    <w:rsid w:val="00A53441"/>
    <w:rsid w:val="00A55064"/>
    <w:rsid w:val="00A55D4C"/>
    <w:rsid w:val="00A56A90"/>
    <w:rsid w:val="00A57D0E"/>
    <w:rsid w:val="00A60877"/>
    <w:rsid w:val="00A618F8"/>
    <w:rsid w:val="00A62EF2"/>
    <w:rsid w:val="00A66EA7"/>
    <w:rsid w:val="00A67DB7"/>
    <w:rsid w:val="00A712F5"/>
    <w:rsid w:val="00A72B88"/>
    <w:rsid w:val="00A76563"/>
    <w:rsid w:val="00A77D4B"/>
    <w:rsid w:val="00A80C7E"/>
    <w:rsid w:val="00A8187A"/>
    <w:rsid w:val="00A81CC9"/>
    <w:rsid w:val="00A83BF8"/>
    <w:rsid w:val="00A876FB"/>
    <w:rsid w:val="00A87F3E"/>
    <w:rsid w:val="00A90E4A"/>
    <w:rsid w:val="00A963F3"/>
    <w:rsid w:val="00A9711E"/>
    <w:rsid w:val="00A978A9"/>
    <w:rsid w:val="00AA3A65"/>
    <w:rsid w:val="00AA466C"/>
    <w:rsid w:val="00AA791C"/>
    <w:rsid w:val="00AB23D8"/>
    <w:rsid w:val="00AB292B"/>
    <w:rsid w:val="00AB5047"/>
    <w:rsid w:val="00AB6466"/>
    <w:rsid w:val="00AC0669"/>
    <w:rsid w:val="00AC2696"/>
    <w:rsid w:val="00AC43D9"/>
    <w:rsid w:val="00AC4CC8"/>
    <w:rsid w:val="00AC56FB"/>
    <w:rsid w:val="00AC5884"/>
    <w:rsid w:val="00AD23BD"/>
    <w:rsid w:val="00AD4E22"/>
    <w:rsid w:val="00AD5B0C"/>
    <w:rsid w:val="00AD618F"/>
    <w:rsid w:val="00AE21FC"/>
    <w:rsid w:val="00AE50CE"/>
    <w:rsid w:val="00AF0E9F"/>
    <w:rsid w:val="00AF2A01"/>
    <w:rsid w:val="00AF64FF"/>
    <w:rsid w:val="00AF7131"/>
    <w:rsid w:val="00AF7EF9"/>
    <w:rsid w:val="00B02172"/>
    <w:rsid w:val="00B0302D"/>
    <w:rsid w:val="00B033AD"/>
    <w:rsid w:val="00B03ED1"/>
    <w:rsid w:val="00B05B0F"/>
    <w:rsid w:val="00B072DA"/>
    <w:rsid w:val="00B07683"/>
    <w:rsid w:val="00B104E6"/>
    <w:rsid w:val="00B13630"/>
    <w:rsid w:val="00B20AA5"/>
    <w:rsid w:val="00B21E05"/>
    <w:rsid w:val="00B22906"/>
    <w:rsid w:val="00B23D2F"/>
    <w:rsid w:val="00B2478B"/>
    <w:rsid w:val="00B2528B"/>
    <w:rsid w:val="00B26143"/>
    <w:rsid w:val="00B26FC3"/>
    <w:rsid w:val="00B2747F"/>
    <w:rsid w:val="00B322F2"/>
    <w:rsid w:val="00B334B6"/>
    <w:rsid w:val="00B34D67"/>
    <w:rsid w:val="00B36260"/>
    <w:rsid w:val="00B36271"/>
    <w:rsid w:val="00B370BC"/>
    <w:rsid w:val="00B40DF2"/>
    <w:rsid w:val="00B502D3"/>
    <w:rsid w:val="00B505CC"/>
    <w:rsid w:val="00B51204"/>
    <w:rsid w:val="00B570CE"/>
    <w:rsid w:val="00B5763B"/>
    <w:rsid w:val="00B652D4"/>
    <w:rsid w:val="00B6791E"/>
    <w:rsid w:val="00B71C37"/>
    <w:rsid w:val="00B73B87"/>
    <w:rsid w:val="00B83E35"/>
    <w:rsid w:val="00B849BF"/>
    <w:rsid w:val="00B84A6D"/>
    <w:rsid w:val="00B91D20"/>
    <w:rsid w:val="00BA5546"/>
    <w:rsid w:val="00BA6DA7"/>
    <w:rsid w:val="00BA7500"/>
    <w:rsid w:val="00BB477B"/>
    <w:rsid w:val="00BC05A7"/>
    <w:rsid w:val="00BC0722"/>
    <w:rsid w:val="00BC0F9D"/>
    <w:rsid w:val="00BC3666"/>
    <w:rsid w:val="00BC4108"/>
    <w:rsid w:val="00BC698A"/>
    <w:rsid w:val="00BC775F"/>
    <w:rsid w:val="00BD08DC"/>
    <w:rsid w:val="00BD0C30"/>
    <w:rsid w:val="00BD1ABF"/>
    <w:rsid w:val="00BD1D96"/>
    <w:rsid w:val="00BD4CF8"/>
    <w:rsid w:val="00BD73F2"/>
    <w:rsid w:val="00BD7B25"/>
    <w:rsid w:val="00BE0337"/>
    <w:rsid w:val="00BE400E"/>
    <w:rsid w:val="00BF4922"/>
    <w:rsid w:val="00BF4925"/>
    <w:rsid w:val="00BF5025"/>
    <w:rsid w:val="00BF5B29"/>
    <w:rsid w:val="00BF5FF2"/>
    <w:rsid w:val="00C006ED"/>
    <w:rsid w:val="00C009BE"/>
    <w:rsid w:val="00C01891"/>
    <w:rsid w:val="00C01A61"/>
    <w:rsid w:val="00C023FE"/>
    <w:rsid w:val="00C11685"/>
    <w:rsid w:val="00C12713"/>
    <w:rsid w:val="00C14CA7"/>
    <w:rsid w:val="00C16B90"/>
    <w:rsid w:val="00C216B0"/>
    <w:rsid w:val="00C263D8"/>
    <w:rsid w:val="00C26CA6"/>
    <w:rsid w:val="00C276D1"/>
    <w:rsid w:val="00C27DE3"/>
    <w:rsid w:val="00C27FC1"/>
    <w:rsid w:val="00C3023F"/>
    <w:rsid w:val="00C304B6"/>
    <w:rsid w:val="00C32131"/>
    <w:rsid w:val="00C34F87"/>
    <w:rsid w:val="00C354D3"/>
    <w:rsid w:val="00C36466"/>
    <w:rsid w:val="00C366DF"/>
    <w:rsid w:val="00C377D1"/>
    <w:rsid w:val="00C4003D"/>
    <w:rsid w:val="00C42CA2"/>
    <w:rsid w:val="00C44096"/>
    <w:rsid w:val="00C45384"/>
    <w:rsid w:val="00C466AE"/>
    <w:rsid w:val="00C476E9"/>
    <w:rsid w:val="00C5096A"/>
    <w:rsid w:val="00C52142"/>
    <w:rsid w:val="00C53CB7"/>
    <w:rsid w:val="00C57177"/>
    <w:rsid w:val="00C61D6F"/>
    <w:rsid w:val="00C6209B"/>
    <w:rsid w:val="00C64884"/>
    <w:rsid w:val="00C6742F"/>
    <w:rsid w:val="00C751AD"/>
    <w:rsid w:val="00C802F9"/>
    <w:rsid w:val="00C80E69"/>
    <w:rsid w:val="00C80F73"/>
    <w:rsid w:val="00C8745C"/>
    <w:rsid w:val="00C91D47"/>
    <w:rsid w:val="00CA4D39"/>
    <w:rsid w:val="00CA67D4"/>
    <w:rsid w:val="00CB0B89"/>
    <w:rsid w:val="00CB4645"/>
    <w:rsid w:val="00CB59E1"/>
    <w:rsid w:val="00CB7E2B"/>
    <w:rsid w:val="00CC18A3"/>
    <w:rsid w:val="00CC68DC"/>
    <w:rsid w:val="00CD1891"/>
    <w:rsid w:val="00CD28EF"/>
    <w:rsid w:val="00CE0A54"/>
    <w:rsid w:val="00CE385A"/>
    <w:rsid w:val="00CE3922"/>
    <w:rsid w:val="00CE4CC0"/>
    <w:rsid w:val="00CF16A6"/>
    <w:rsid w:val="00CF301B"/>
    <w:rsid w:val="00CF5E9B"/>
    <w:rsid w:val="00D01DD0"/>
    <w:rsid w:val="00D02244"/>
    <w:rsid w:val="00D02AEC"/>
    <w:rsid w:val="00D02C17"/>
    <w:rsid w:val="00D02E29"/>
    <w:rsid w:val="00D02ED2"/>
    <w:rsid w:val="00D0363E"/>
    <w:rsid w:val="00D04119"/>
    <w:rsid w:val="00D04254"/>
    <w:rsid w:val="00D063D4"/>
    <w:rsid w:val="00D11646"/>
    <w:rsid w:val="00D12673"/>
    <w:rsid w:val="00D13515"/>
    <w:rsid w:val="00D13B06"/>
    <w:rsid w:val="00D13E5C"/>
    <w:rsid w:val="00D2029B"/>
    <w:rsid w:val="00D21164"/>
    <w:rsid w:val="00D21EC4"/>
    <w:rsid w:val="00D22F1E"/>
    <w:rsid w:val="00D235A9"/>
    <w:rsid w:val="00D245AC"/>
    <w:rsid w:val="00D25EE8"/>
    <w:rsid w:val="00D30515"/>
    <w:rsid w:val="00D305E5"/>
    <w:rsid w:val="00D32133"/>
    <w:rsid w:val="00D323EC"/>
    <w:rsid w:val="00D3377A"/>
    <w:rsid w:val="00D34356"/>
    <w:rsid w:val="00D35B47"/>
    <w:rsid w:val="00D42FC6"/>
    <w:rsid w:val="00D56C45"/>
    <w:rsid w:val="00D60BCC"/>
    <w:rsid w:val="00D620B2"/>
    <w:rsid w:val="00D62434"/>
    <w:rsid w:val="00D625F5"/>
    <w:rsid w:val="00D62856"/>
    <w:rsid w:val="00D64190"/>
    <w:rsid w:val="00D64938"/>
    <w:rsid w:val="00D66C43"/>
    <w:rsid w:val="00D70C77"/>
    <w:rsid w:val="00D71D1C"/>
    <w:rsid w:val="00D75583"/>
    <w:rsid w:val="00D77BA4"/>
    <w:rsid w:val="00D80FAD"/>
    <w:rsid w:val="00D83FB0"/>
    <w:rsid w:val="00D85BF7"/>
    <w:rsid w:val="00D86904"/>
    <w:rsid w:val="00D926E0"/>
    <w:rsid w:val="00DA16CE"/>
    <w:rsid w:val="00DA4A55"/>
    <w:rsid w:val="00DA5BD1"/>
    <w:rsid w:val="00DA745C"/>
    <w:rsid w:val="00DB0600"/>
    <w:rsid w:val="00DB2FE3"/>
    <w:rsid w:val="00DB399E"/>
    <w:rsid w:val="00DB42F5"/>
    <w:rsid w:val="00DB4FD7"/>
    <w:rsid w:val="00DB5A89"/>
    <w:rsid w:val="00DC19EA"/>
    <w:rsid w:val="00DC4A62"/>
    <w:rsid w:val="00DC68B2"/>
    <w:rsid w:val="00DC7739"/>
    <w:rsid w:val="00DD09E7"/>
    <w:rsid w:val="00DD1D71"/>
    <w:rsid w:val="00DD379F"/>
    <w:rsid w:val="00DD39D8"/>
    <w:rsid w:val="00DD636E"/>
    <w:rsid w:val="00DD727B"/>
    <w:rsid w:val="00DE0AAB"/>
    <w:rsid w:val="00DE1660"/>
    <w:rsid w:val="00DE25E3"/>
    <w:rsid w:val="00DE2835"/>
    <w:rsid w:val="00DE49E5"/>
    <w:rsid w:val="00DE72A9"/>
    <w:rsid w:val="00DE741A"/>
    <w:rsid w:val="00DF0B03"/>
    <w:rsid w:val="00DF2F6E"/>
    <w:rsid w:val="00DF3BFC"/>
    <w:rsid w:val="00DF71EE"/>
    <w:rsid w:val="00DF724E"/>
    <w:rsid w:val="00E042F9"/>
    <w:rsid w:val="00E10493"/>
    <w:rsid w:val="00E17230"/>
    <w:rsid w:val="00E17B59"/>
    <w:rsid w:val="00E2187E"/>
    <w:rsid w:val="00E2709F"/>
    <w:rsid w:val="00E27B13"/>
    <w:rsid w:val="00E30521"/>
    <w:rsid w:val="00E319C0"/>
    <w:rsid w:val="00E3335F"/>
    <w:rsid w:val="00E33952"/>
    <w:rsid w:val="00E36C12"/>
    <w:rsid w:val="00E42C54"/>
    <w:rsid w:val="00E4404A"/>
    <w:rsid w:val="00E45F73"/>
    <w:rsid w:val="00E54058"/>
    <w:rsid w:val="00E560B6"/>
    <w:rsid w:val="00E60DCB"/>
    <w:rsid w:val="00E64ABE"/>
    <w:rsid w:val="00E703F0"/>
    <w:rsid w:val="00E7163C"/>
    <w:rsid w:val="00E72FC5"/>
    <w:rsid w:val="00E73DE3"/>
    <w:rsid w:val="00E7521B"/>
    <w:rsid w:val="00E759CA"/>
    <w:rsid w:val="00E772BE"/>
    <w:rsid w:val="00E80B67"/>
    <w:rsid w:val="00E83705"/>
    <w:rsid w:val="00E83A59"/>
    <w:rsid w:val="00E843B6"/>
    <w:rsid w:val="00E92226"/>
    <w:rsid w:val="00E933BA"/>
    <w:rsid w:val="00E93E2E"/>
    <w:rsid w:val="00EA0D1E"/>
    <w:rsid w:val="00EA1C66"/>
    <w:rsid w:val="00EA3728"/>
    <w:rsid w:val="00EB050D"/>
    <w:rsid w:val="00EB2131"/>
    <w:rsid w:val="00EB242B"/>
    <w:rsid w:val="00EB458E"/>
    <w:rsid w:val="00EB4A11"/>
    <w:rsid w:val="00EB7489"/>
    <w:rsid w:val="00EC08F6"/>
    <w:rsid w:val="00EC1C2F"/>
    <w:rsid w:val="00EC37D4"/>
    <w:rsid w:val="00EC64EC"/>
    <w:rsid w:val="00EC7021"/>
    <w:rsid w:val="00ED10B1"/>
    <w:rsid w:val="00ED45BE"/>
    <w:rsid w:val="00ED55DA"/>
    <w:rsid w:val="00ED648E"/>
    <w:rsid w:val="00ED7318"/>
    <w:rsid w:val="00ED7461"/>
    <w:rsid w:val="00EE07DE"/>
    <w:rsid w:val="00EE0B8C"/>
    <w:rsid w:val="00EE23AF"/>
    <w:rsid w:val="00EE495F"/>
    <w:rsid w:val="00EE604E"/>
    <w:rsid w:val="00EF1EA0"/>
    <w:rsid w:val="00EF5850"/>
    <w:rsid w:val="00F01159"/>
    <w:rsid w:val="00F102F1"/>
    <w:rsid w:val="00F10DCF"/>
    <w:rsid w:val="00F12318"/>
    <w:rsid w:val="00F123DE"/>
    <w:rsid w:val="00F12871"/>
    <w:rsid w:val="00F145B0"/>
    <w:rsid w:val="00F15361"/>
    <w:rsid w:val="00F16F9A"/>
    <w:rsid w:val="00F1797B"/>
    <w:rsid w:val="00F25360"/>
    <w:rsid w:val="00F313CF"/>
    <w:rsid w:val="00F33A65"/>
    <w:rsid w:val="00F3639A"/>
    <w:rsid w:val="00F4269E"/>
    <w:rsid w:val="00F436CD"/>
    <w:rsid w:val="00F44EC9"/>
    <w:rsid w:val="00F4608E"/>
    <w:rsid w:val="00F47A7C"/>
    <w:rsid w:val="00F52B72"/>
    <w:rsid w:val="00F53BE0"/>
    <w:rsid w:val="00F54B04"/>
    <w:rsid w:val="00F55490"/>
    <w:rsid w:val="00F56AA4"/>
    <w:rsid w:val="00F57373"/>
    <w:rsid w:val="00F6328E"/>
    <w:rsid w:val="00F64B74"/>
    <w:rsid w:val="00F70534"/>
    <w:rsid w:val="00F72178"/>
    <w:rsid w:val="00F76A3A"/>
    <w:rsid w:val="00F80431"/>
    <w:rsid w:val="00F80564"/>
    <w:rsid w:val="00F80C8C"/>
    <w:rsid w:val="00F821B6"/>
    <w:rsid w:val="00F83310"/>
    <w:rsid w:val="00F870B2"/>
    <w:rsid w:val="00F907EF"/>
    <w:rsid w:val="00F9384B"/>
    <w:rsid w:val="00F93901"/>
    <w:rsid w:val="00F972D0"/>
    <w:rsid w:val="00FA04FD"/>
    <w:rsid w:val="00FA1A7D"/>
    <w:rsid w:val="00FA1AB0"/>
    <w:rsid w:val="00FA442C"/>
    <w:rsid w:val="00FA60D6"/>
    <w:rsid w:val="00FB048B"/>
    <w:rsid w:val="00FB13A2"/>
    <w:rsid w:val="00FB1AF8"/>
    <w:rsid w:val="00FB504D"/>
    <w:rsid w:val="00FB5488"/>
    <w:rsid w:val="00FB6AA5"/>
    <w:rsid w:val="00FC0FBF"/>
    <w:rsid w:val="00FC181C"/>
    <w:rsid w:val="00FC18C9"/>
    <w:rsid w:val="00FC3DFC"/>
    <w:rsid w:val="00FC487F"/>
    <w:rsid w:val="00FC6FA5"/>
    <w:rsid w:val="00FD2D37"/>
    <w:rsid w:val="00FD4469"/>
    <w:rsid w:val="00FD6964"/>
    <w:rsid w:val="00FD6E33"/>
    <w:rsid w:val="00FD7A77"/>
    <w:rsid w:val="00FE2935"/>
    <w:rsid w:val="00FE563F"/>
    <w:rsid w:val="00FF02C9"/>
    <w:rsid w:val="00FF1F88"/>
    <w:rsid w:val="00FF249A"/>
    <w:rsid w:val="00FF3440"/>
    <w:rsid w:val="00FF40EE"/>
    <w:rsid w:val="00FF6769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EA59E5-BDA0-454F-94D7-2404AA8A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aff0">
    <w:name w:val="Знак"/>
    <w:basedOn w:val="a"/>
    <w:rsid w:val="00775A7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Абзац"/>
    <w:link w:val="aff2"/>
    <w:rsid w:val="0059686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Абзац Знак"/>
    <w:link w:val="aff1"/>
    <w:rsid w:val="005968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Текст_Обычный"/>
    <w:uiPriority w:val="1"/>
    <w:qFormat/>
    <w:rsid w:val="00B2478B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_____Microsoft_Excel_97-20031.xls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0AE0-E653-46FA-A7FC-BA420A87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13</Pages>
  <Words>3751</Words>
  <Characters>21383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Лучникова Анна Владимировна</cp:lastModifiedBy>
  <cp:revision>549</cp:revision>
  <cp:lastPrinted>2015-03-25T11:42:00Z</cp:lastPrinted>
  <dcterms:created xsi:type="dcterms:W3CDTF">2011-11-23T16:22:00Z</dcterms:created>
  <dcterms:modified xsi:type="dcterms:W3CDTF">2016-03-29T14:10:00Z</dcterms:modified>
</cp:coreProperties>
</file>